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0"/>
          <w:szCs w:val="30"/>
        </w:rPr>
        <w:t xml:space="preserve">Sales Forecasting &amp; Demand Intelligence</w:t>
      </w:r>
    </w:p>
    <w:p>
      <w:pPr>
        <w:spacing w:after="150"/>
        <w:jc w:val="center"/>
      </w:pPr>
      <w:r>
        <w:rPr>
          <w:i/>
          <w:iCs/>
          <w:color w:val="555555"/>
          <w:sz w:val="18"/>
          <w:szCs w:val="18"/>
        </w:rPr>
        <w:t xml:space="preserve">Executive Business Report — Prepared for Head of Supply Chain &amp; CFO</w:t>
      </w:r>
    </w:p>
    <w:p>
      <w:pPr>
        <w:pStyle w:val="Heading1"/>
        <w:spacing w:after="80" w:before="160"/>
      </w:pPr>
      <w:r>
        <w:rPr>
          <w:b/>
          <w:bCs/>
          <w:color w:val="1F4E79"/>
          <w:sz w:val="24"/>
          <w:szCs w:val="24"/>
        </w:rPr>
        <w:t xml:space="preserve">Executive Summary</w:t>
      </w:r>
    </w:p>
    <w:p>
      <w:pPr>
        <w:spacing w:after="90" w:line="260"/>
      </w:pPr>
      <w:r>
        <w:rPr>
          <w:sz w:val="19"/>
          <w:szCs w:val="19"/>
        </w:rPr>
        <w:t xml:space="preserve">Our sales have grown steadily over the past four years, but that growth is uneven across the year — the same three months (September, November, December) spike every single year, and the first two months of the year are reliably the slowest. We built and compared three different forecasting approaches and found that a machine-learning model (XGBoost) predicts next month's sales more accurately than traditional statistical methods, typically landing within about 19% of the actual figure. Using that model, we forecast total sales of roughly $46,300 in January 2019, dropping to $36,700 in February before recovering to $44,000 in March — consistent with the seasonal slowdown we see every year. We also identified specific weeks of unusually high or low sales, grouped our 17 product sub-categories into four demand patterns to guide stocking decisions, and built an interactive dashboard so this analysis can be explored on an ongoing basis rather than as a one-time report.</w:t>
      </w:r>
    </w:p>
    <w:p>
      <w:pPr>
        <w:pStyle w:val="Heading1"/>
        <w:spacing w:after="80" w:before="160"/>
      </w:pPr>
      <w:r>
        <w:rPr>
          <w:b/>
          <w:bCs/>
          <w:color w:val="1F4E79"/>
          <w:sz w:val="24"/>
          <w:szCs w:val="24"/>
        </w:rPr>
        <w:t xml:space="preserve">Key Findings from Exploration &amp; Forecasting</w:t>
      </w:r>
    </w:p>
    <w:p>
      <w:pPr>
        <w:pStyle w:val="ListParagraph"/>
        <w:numPr>
          <w:ilvl w:val="0"/>
          <w:numId w:val="1"/>
        </w:numPr>
        <w:spacing w:after="50" w:line="260"/>
      </w:pPr>
      <w:r>
        <w:rPr>
          <w:sz w:val="19"/>
          <w:szCs w:val="19"/>
        </w:rPr>
        <w:t xml:space="preserve">Technology, Furniture, and Office Supplies contribute nearly equally to revenue ($827K / $729K / $705K) — no single category dominates, so category-level strategy matters roughly equally across all three.</w:t>
      </w:r>
    </w:p>
    <w:p>
      <w:pPr>
        <w:pStyle w:val="ListParagraph"/>
        <w:numPr>
          <w:ilvl w:val="0"/>
          <w:numId w:val="1"/>
        </w:numPr>
        <w:spacing w:after="50" w:line="260"/>
      </w:pPr>
      <w:r>
        <w:rPr>
          <w:sz w:val="19"/>
          <w:szCs w:val="19"/>
        </w:rPr>
        <w:t xml:space="preserve">The East region shows the steadiest year-over-year growth, while the West region grows faster on average but less predictably — worth different planning approaches for each.</w:t>
      </w:r>
    </w:p>
    <w:p>
      <w:pPr>
        <w:pStyle w:val="ListParagraph"/>
        <w:numPr>
          <w:ilvl w:val="0"/>
          <w:numId w:val="1"/>
        </w:numPr>
        <w:spacing w:after="50" w:line="260"/>
      </w:pPr>
      <w:r>
        <w:rPr>
          <w:sz w:val="19"/>
          <w:szCs w:val="19"/>
        </w:rPr>
        <w:t xml:space="preserve">Shipping delay averages just under 4 days and barely varies by region, suggesting it's driven by company-wide shipping policy rather than regional operations.</w:t>
      </w:r>
    </w:p>
    <w:p>
      <w:pPr>
        <w:pStyle w:val="ListParagraph"/>
        <w:numPr>
          <w:ilvl w:val="0"/>
          <w:numId w:val="1"/>
        </w:numPr>
        <w:spacing w:after="50" w:line="260"/>
      </w:pPr>
      <w:r>
        <w:rPr>
          <w:sz w:val="19"/>
          <w:szCs w:val="19"/>
        </w:rPr>
        <w:t xml:space="preserve">September, November, and December are consistently the strongest sales months across all four years — a reliable, repeatable seasonal pattern rather than a one-off event.</w:t>
      </w:r>
    </w:p>
    <w:p>
      <w:pPr>
        <w:pStyle w:val="ListParagraph"/>
        <w:numPr>
          <w:ilvl w:val="0"/>
          <w:numId w:val="1"/>
        </w:numPr>
        <w:spacing w:after="50" w:line="260"/>
      </w:pPr>
      <w:r>
        <w:rPr>
          <w:sz w:val="19"/>
          <w:szCs w:val="19"/>
        </w:rPr>
        <w:t xml:space="preserve">Comparing three forecasting approaches (a statistical model, an industry-standard forecasting tool, and a machine-learning model), the machine-learning approach (XGBoost) produced the most accurate forecasts on held-out data, with a typical error of about 19% versus 22% for the other two methods.</w:t>
      </w:r>
    </w:p>
    <w:p>
      <w:pPr>
        <w:pStyle w:val="Heading1"/>
        <w:spacing w:after="80" w:before="160"/>
      </w:pPr>
      <w:r>
        <w:rPr>
          <w:b/>
          <w:bCs/>
          <w:color w:val="1F4E79"/>
          <w:sz w:val="24"/>
          <w:szCs w:val="24"/>
        </w:rPr>
        <w:t xml:space="preserve">3-Month Sales Forecast</w:t>
      </w:r>
    </w:p>
    <w:p>
      <w:pPr>
        <w:spacing w:after="90" w:line="260"/>
      </w:pPr>
      <w:r>
        <w:rPr>
          <w:sz w:val="19"/>
          <w:szCs w:val="19"/>
        </w:rPr>
        <w:t xml:space="preserve">Using our best-performing model trained on all available history, we forecast the following total sales for the next three months. The “Expected Range” reflects the model's typical margin of error observed during validation — actual results falling within this range would be considered normal, not a sign the model is wrong.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20"/>
        <w:gridCol w:w="3115"/>
        <w:gridCol w:w="3115"/>
      </w:tblGrid>
      <w:tr>
        <w:tc>
          <w:tcPr>
            <w:tcW w:type="dxa" w:w="3120"/>
            <w:shd w:fill="1F4E79" w:val="clear"/>
            <w:tcMar>
              <w:top w:type="dxa" w:w="50"/>
              <w:left w:type="dxa" w:w="100"/>
              <w:bottom w:type="dxa" w:w="50"/>
              <w:right w:type="dxa" w:w="100"/>
            </w:tcMar>
            <w:vAlign w:val="center"/>
          </w:tcPr>
          <w:p>
            <w:r>
              <w:rPr>
                <w:b/>
                <w:bCs/>
                <w:color w:val="FFFFFF"/>
                <w:sz w:val="18"/>
                <w:szCs w:val="18"/>
              </w:rPr>
              <w:t xml:space="preserve">Month</w:t>
            </w:r>
          </w:p>
        </w:tc>
        <w:tc>
          <w:tcPr>
            <w:tcW w:type="dxa" w:w="3115"/>
            <w:shd w:fill="1F4E79" w:val="clear"/>
            <w:tcMar>
              <w:top w:type="dxa" w:w="50"/>
              <w:left w:type="dxa" w:w="100"/>
              <w:bottom w:type="dxa" w:w="50"/>
              <w:right w:type="dxa" w:w="100"/>
            </w:tcMar>
            <w:vAlign w:val="center"/>
          </w:tcPr>
          <w:p>
            <w:r>
              <w:rPr>
                <w:b/>
                <w:bCs/>
                <w:color w:val="FFFFFF"/>
                <w:sz w:val="18"/>
                <w:szCs w:val="18"/>
              </w:rPr>
              <w:t xml:space="preserve">Forecasted Sales</w:t>
            </w:r>
          </w:p>
        </w:tc>
        <w:tc>
          <w:tcPr>
            <w:tcW w:type="dxa" w:w="3115"/>
            <w:shd w:fill="1F4E79" w:val="clear"/>
            <w:tcMar>
              <w:top w:type="dxa" w:w="50"/>
              <w:left w:type="dxa" w:w="100"/>
              <w:bottom w:type="dxa" w:w="50"/>
              <w:right w:type="dxa" w:w="100"/>
            </w:tcMar>
            <w:vAlign w:val="center"/>
          </w:tcPr>
          <w:p>
            <w:r>
              <w:rPr>
                <w:b/>
                <w:bCs/>
                <w:color w:val="FFFFFF"/>
                <w:sz w:val="18"/>
                <w:szCs w:val="18"/>
              </w:rPr>
              <w:t xml:space="preserve">Expected Range</w:t>
            </w:r>
          </w:p>
        </w:tc>
      </w:tr>
      <w:tr>
        <w:tc>
          <w:tcPr>
            <w:tcW w:type="dxa" w:w="3120"/>
            <w:tcMar>
              <w:top w:type="dxa" w:w="50"/>
              <w:left w:type="dxa" w:w="100"/>
              <w:bottom w:type="dxa" w:w="50"/>
              <w:right w:type="dxa" w:w="100"/>
            </w:tcMar>
            <w:vAlign w:val="center"/>
          </w:tcPr>
          <w:p>
            <w:r>
              <w:rPr>
                <w:b w:val="false"/>
                <w:bCs w:val="false"/>
                <w:color w:val="000000"/>
                <w:sz w:val="18"/>
                <w:szCs w:val="18"/>
              </w:rPr>
              <w:t xml:space="preserve">January 2019</w:t>
            </w:r>
          </w:p>
        </w:tc>
        <w:tc>
          <w:tcPr>
            <w:tcW w:type="dxa" w:w="3115"/>
            <w:tcMar>
              <w:top w:type="dxa" w:w="50"/>
              <w:left w:type="dxa" w:w="100"/>
              <w:bottom w:type="dxa" w:w="50"/>
              <w:right w:type="dxa" w:w="100"/>
            </w:tcMar>
            <w:vAlign w:val="center"/>
          </w:tcPr>
          <w:p>
            <w:r>
              <w:rPr>
                <w:b w:val="false"/>
                <w:bCs w:val="false"/>
                <w:color w:val="000000"/>
                <w:sz w:val="18"/>
                <w:szCs w:val="18"/>
              </w:rPr>
              <w:t xml:space="preserve">$46,300</w:t>
            </w:r>
          </w:p>
        </w:tc>
        <w:tc>
          <w:tcPr>
            <w:tcW w:type="dxa" w:w="3115"/>
            <w:tcMar>
              <w:top w:type="dxa" w:w="50"/>
              <w:left w:type="dxa" w:w="100"/>
              <w:bottom w:type="dxa" w:w="50"/>
              <w:right w:type="dxa" w:w="100"/>
            </w:tcMar>
            <w:vAlign w:val="center"/>
          </w:tcPr>
          <w:p>
            <w:r>
              <w:rPr>
                <w:b w:val="false"/>
                <w:bCs w:val="false"/>
                <w:color w:val="000000"/>
                <w:sz w:val="18"/>
                <w:szCs w:val="18"/>
              </w:rPr>
              <w:t xml:space="preserve">$37,600 – $55,000</w:t>
            </w:r>
          </w:p>
        </w:tc>
      </w:tr>
      <w:tr>
        <w:tc>
          <w:tcPr>
            <w:tcW w:type="dxa" w:w="3120"/>
            <w:tcMar>
              <w:top w:type="dxa" w:w="50"/>
              <w:left w:type="dxa" w:w="100"/>
              <w:bottom w:type="dxa" w:w="50"/>
              <w:right w:type="dxa" w:w="100"/>
            </w:tcMar>
            <w:vAlign w:val="center"/>
          </w:tcPr>
          <w:p>
            <w:r>
              <w:rPr>
                <w:b w:val="false"/>
                <w:bCs w:val="false"/>
                <w:color w:val="000000"/>
                <w:sz w:val="18"/>
                <w:szCs w:val="18"/>
              </w:rPr>
              <w:t xml:space="preserve">February 2019</w:t>
            </w:r>
          </w:p>
        </w:tc>
        <w:tc>
          <w:tcPr>
            <w:tcW w:type="dxa" w:w="3115"/>
            <w:tcMar>
              <w:top w:type="dxa" w:w="50"/>
              <w:left w:type="dxa" w:w="100"/>
              <w:bottom w:type="dxa" w:w="50"/>
              <w:right w:type="dxa" w:w="100"/>
            </w:tcMar>
            <w:vAlign w:val="center"/>
          </w:tcPr>
          <w:p>
            <w:r>
              <w:rPr>
                <w:b w:val="false"/>
                <w:bCs w:val="false"/>
                <w:color w:val="000000"/>
                <w:sz w:val="18"/>
                <w:szCs w:val="18"/>
              </w:rPr>
              <w:t xml:space="preserve">$36,700</w:t>
            </w:r>
          </w:p>
        </w:tc>
        <w:tc>
          <w:tcPr>
            <w:tcW w:type="dxa" w:w="3115"/>
            <w:tcMar>
              <w:top w:type="dxa" w:w="50"/>
              <w:left w:type="dxa" w:w="100"/>
              <w:bottom w:type="dxa" w:w="50"/>
              <w:right w:type="dxa" w:w="100"/>
            </w:tcMar>
            <w:vAlign w:val="center"/>
          </w:tcPr>
          <w:p>
            <w:r>
              <w:rPr>
                <w:b w:val="false"/>
                <w:bCs w:val="false"/>
                <w:color w:val="000000"/>
                <w:sz w:val="18"/>
                <w:szCs w:val="18"/>
              </w:rPr>
              <w:t xml:space="preserve">$29,800 – $43,600</w:t>
            </w:r>
          </w:p>
        </w:tc>
      </w:tr>
      <w:tr>
        <w:tc>
          <w:tcPr>
            <w:tcW w:type="dxa" w:w="3120"/>
            <w:tcMar>
              <w:top w:type="dxa" w:w="50"/>
              <w:left w:type="dxa" w:w="100"/>
              <w:bottom w:type="dxa" w:w="50"/>
              <w:right w:type="dxa" w:w="100"/>
            </w:tcMar>
            <w:vAlign w:val="center"/>
          </w:tcPr>
          <w:p>
            <w:r>
              <w:rPr>
                <w:b w:val="false"/>
                <w:bCs w:val="false"/>
                <w:color w:val="000000"/>
                <w:sz w:val="18"/>
                <w:szCs w:val="18"/>
              </w:rPr>
              <w:t xml:space="preserve">March 2019</w:t>
            </w:r>
          </w:p>
        </w:tc>
        <w:tc>
          <w:tcPr>
            <w:tcW w:type="dxa" w:w="3115"/>
            <w:tcMar>
              <w:top w:type="dxa" w:w="50"/>
              <w:left w:type="dxa" w:w="100"/>
              <w:bottom w:type="dxa" w:w="50"/>
              <w:right w:type="dxa" w:w="100"/>
            </w:tcMar>
            <w:vAlign w:val="center"/>
          </w:tcPr>
          <w:p>
            <w:r>
              <w:rPr>
                <w:b w:val="false"/>
                <w:bCs w:val="false"/>
                <w:color w:val="000000"/>
                <w:sz w:val="18"/>
                <w:szCs w:val="18"/>
              </w:rPr>
              <w:t xml:space="preserve">$44,000</w:t>
            </w:r>
          </w:p>
        </w:tc>
        <w:tc>
          <w:tcPr>
            <w:tcW w:type="dxa" w:w="3115"/>
            <w:tcMar>
              <w:top w:type="dxa" w:w="50"/>
              <w:left w:type="dxa" w:w="100"/>
              <w:bottom w:type="dxa" w:w="50"/>
              <w:right w:type="dxa" w:w="100"/>
            </w:tcMar>
            <w:vAlign w:val="center"/>
          </w:tcPr>
          <w:p>
            <w:r>
              <w:rPr>
                <w:b w:val="false"/>
                <w:bCs w:val="false"/>
                <w:color w:val="000000"/>
                <w:sz w:val="18"/>
                <w:szCs w:val="18"/>
              </w:rPr>
              <w:t xml:space="preserve">$35,700 – $52,200</w:t>
            </w:r>
          </w:p>
        </w:tc>
      </w:tr>
    </w:tbl>
    <w:p>
      <w:pPr>
        <w:spacing w:after="150"/>
      </w:pPr>
    </w:p>
    <w:p>
      <w:pPr>
        <w:spacing w:after="90" w:line="260"/>
      </w:pPr>
      <w:r>
        <w:rPr>
          <w:sz w:val="19"/>
          <w:szCs w:val="19"/>
        </w:rPr>
        <w:t xml:space="preserve">In plain terms: expect a noticeably slower January and February compared to the last few months of 2018, followed by a partial rebound in March. This mirrors the same early-year slowdown seen in every prior year of data, so it should be treated as an expected seasonal dip to plan around, not a warning sign.</w:t>
      </w:r>
    </w:p>
    <w:p>
      <w:pPr>
        <w:pStyle w:val="Heading2"/>
        <w:spacing w:after="60" w:before="100"/>
      </w:pPr>
      <w:r>
        <w:rPr>
          <w:b/>
          <w:bCs/>
          <w:sz w:val="21"/>
          <w:szCs w:val="21"/>
        </w:rPr>
        <w:t xml:space="preserve">How the three models compared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1F4E79" w:val="clear"/>
            <w:tcMar>
              <w:top w:type="dxa" w:w="50"/>
              <w:left w:type="dxa" w:w="100"/>
              <w:bottom w:type="dxa" w:w="50"/>
              <w:right w:type="dxa" w:w="100"/>
            </w:tcMar>
            <w:vAlign w:val="center"/>
          </w:tcPr>
          <w:p>
            <w:r>
              <w:rPr>
                <w:b/>
                <w:bCs/>
                <w:color w:val="FFFFFF"/>
                <w:sz w:val="18"/>
                <w:szCs w:val="18"/>
              </w:rPr>
              <w:t xml:space="preserve">Model</w:t>
            </w:r>
          </w:p>
        </w:tc>
        <w:tc>
          <w:tcPr>
            <w:tcW w:type="dxa" w:w="3117"/>
            <w:shd w:fill="1F4E79" w:val="clear"/>
            <w:tcMar>
              <w:top w:type="dxa" w:w="50"/>
              <w:left w:type="dxa" w:w="100"/>
              <w:bottom w:type="dxa" w:w="50"/>
              <w:right w:type="dxa" w:w="100"/>
            </w:tcMar>
            <w:vAlign w:val="center"/>
          </w:tcPr>
          <w:p>
            <w:r>
              <w:rPr>
                <w:b/>
                <w:bCs/>
                <w:color w:val="FFFFFF"/>
                <w:sz w:val="18"/>
                <w:szCs w:val="18"/>
              </w:rPr>
              <w:t xml:space="preserve">Typical Forecast Error</w:t>
            </w:r>
          </w:p>
        </w:tc>
        <w:tc>
          <w:tcPr>
            <w:tcW w:type="dxa" w:w="3116"/>
            <w:shd w:fill="1F4E79" w:val="clear"/>
            <w:tcMar>
              <w:top w:type="dxa" w:w="50"/>
              <w:left w:type="dxa" w:w="100"/>
              <w:bottom w:type="dxa" w:w="50"/>
              <w:right w:type="dxa" w:w="100"/>
            </w:tcMar>
            <w:vAlign w:val="center"/>
          </w:tcPr>
          <w:p>
            <w:r>
              <w:rPr>
                <w:b/>
                <w:bCs/>
                <w:color w:val="FFFFFF"/>
                <w:sz w:val="18"/>
                <w:szCs w:val="18"/>
              </w:rPr>
              <w:t xml:space="preserve">Recommended Use</w:t>
            </w:r>
          </w:p>
        </w:tc>
      </w:tr>
      <w:tr>
        <w:tc>
          <w:tcPr>
            <w:tcW w:type="dxa" w:w="3117"/>
            <w:tcMar>
              <w:top w:type="dxa" w:w="50"/>
              <w:left w:type="dxa" w:w="100"/>
              <w:bottom w:type="dxa" w:w="50"/>
              <w:right w:type="dxa" w:w="100"/>
            </w:tcMar>
            <w:vAlign w:val="center"/>
          </w:tcPr>
          <w:p>
            <w:r>
              <w:rPr>
                <w:b w:val="false"/>
                <w:bCs w:val="false"/>
                <w:color w:val="000000"/>
                <w:sz w:val="18"/>
                <w:szCs w:val="18"/>
              </w:rPr>
              <w:t xml:space="preserve">XGBoost (recommended)</w:t>
            </w:r>
          </w:p>
        </w:tc>
        <w:tc>
          <w:tcPr>
            <w:tcW w:type="dxa" w:w="3117"/>
            <w:tcMar>
              <w:top w:type="dxa" w:w="50"/>
              <w:left w:type="dxa" w:w="100"/>
              <w:bottom w:type="dxa" w:w="50"/>
              <w:right w:type="dxa" w:w="100"/>
            </w:tcMar>
            <w:vAlign w:val="center"/>
          </w:tcPr>
          <w:p>
            <w:r>
              <w:rPr>
                <w:b w:val="false"/>
                <w:bCs w:val="false"/>
                <w:color w:val="000000"/>
                <w:sz w:val="18"/>
                <w:szCs w:val="18"/>
              </w:rPr>
              <w:t xml:space="preserve">~18.8% (lowest of the three)</w:t>
            </w:r>
          </w:p>
        </w:tc>
        <w:tc>
          <w:tcPr>
            <w:tcW w:type="dxa" w:w="3116"/>
            <w:tcMar>
              <w:top w:type="dxa" w:w="50"/>
              <w:left w:type="dxa" w:w="100"/>
              <w:bottom w:type="dxa" w:w="50"/>
              <w:right w:type="dxa" w:w="100"/>
            </w:tcMar>
            <w:vAlign w:val="center"/>
          </w:tcPr>
          <w:p>
            <w:r>
              <w:rPr>
                <w:b w:val="false"/>
                <w:bCs w:val="false"/>
                <w:color w:val="000000"/>
                <w:sz w:val="18"/>
                <w:szCs w:val="18"/>
              </w:rPr>
              <w:t xml:space="preserve">Production forecasting</w:t>
            </w:r>
          </w:p>
        </w:tc>
      </w:tr>
      <w:tr>
        <w:tc>
          <w:tcPr>
            <w:tcW w:type="dxa" w:w="3117"/>
            <w:tcMar>
              <w:top w:type="dxa" w:w="50"/>
              <w:left w:type="dxa" w:w="100"/>
              <w:bottom w:type="dxa" w:w="50"/>
              <w:right w:type="dxa" w:w="100"/>
            </w:tcMar>
            <w:vAlign w:val="center"/>
          </w:tcPr>
          <w:p>
            <w:r>
              <w:rPr>
                <w:b w:val="false"/>
                <w:bCs w:val="false"/>
                <w:color w:val="000000"/>
                <w:sz w:val="18"/>
                <w:szCs w:val="18"/>
              </w:rPr>
              <w:t xml:space="preserve">Facebook Prophet</w:t>
            </w:r>
          </w:p>
        </w:tc>
        <w:tc>
          <w:tcPr>
            <w:tcW w:type="dxa" w:w="3117"/>
            <w:tcMar>
              <w:top w:type="dxa" w:w="50"/>
              <w:left w:type="dxa" w:w="100"/>
              <w:bottom w:type="dxa" w:w="50"/>
              <w:right w:type="dxa" w:w="100"/>
            </w:tcMar>
            <w:vAlign w:val="center"/>
          </w:tcPr>
          <w:p>
            <w:r>
              <w:rPr>
                <w:b w:val="false"/>
                <w:bCs w:val="false"/>
                <w:color w:val="000000"/>
                <w:sz w:val="18"/>
                <w:szCs w:val="18"/>
              </w:rPr>
              <w:t xml:space="preserve">~21.9%</w:t>
            </w:r>
          </w:p>
        </w:tc>
        <w:tc>
          <w:tcPr>
            <w:tcW w:type="dxa" w:w="3116"/>
            <w:tcMar>
              <w:top w:type="dxa" w:w="50"/>
              <w:left w:type="dxa" w:w="100"/>
              <w:bottom w:type="dxa" w:w="50"/>
              <w:right w:type="dxa" w:w="100"/>
            </w:tcMar>
            <w:vAlign w:val="center"/>
          </w:tcPr>
          <w:p>
            <w:r>
              <w:rPr>
                <w:b w:val="false"/>
                <w:bCs w:val="false"/>
                <w:color w:val="000000"/>
                <w:sz w:val="18"/>
                <w:szCs w:val="18"/>
              </w:rPr>
              <w:t xml:space="preserve">Stakeholder-facing explanations</w:t>
            </w:r>
          </w:p>
        </w:tc>
      </w:tr>
      <w:tr>
        <w:tc>
          <w:tcPr>
            <w:tcW w:type="dxa" w:w="3117"/>
            <w:tcMar>
              <w:top w:type="dxa" w:w="50"/>
              <w:left w:type="dxa" w:w="100"/>
              <w:bottom w:type="dxa" w:w="50"/>
              <w:right w:type="dxa" w:w="100"/>
            </w:tcMar>
            <w:vAlign w:val="center"/>
          </w:tcPr>
          <w:p>
            <w:r>
              <w:rPr>
                <w:b w:val="false"/>
                <w:bCs w:val="false"/>
                <w:color w:val="000000"/>
                <w:sz w:val="18"/>
                <w:szCs w:val="18"/>
              </w:rPr>
              <w:t xml:space="preserve">SARIMA</w:t>
            </w:r>
          </w:p>
        </w:tc>
        <w:tc>
          <w:tcPr>
            <w:tcW w:type="dxa" w:w="3117"/>
            <w:tcMar>
              <w:top w:type="dxa" w:w="50"/>
              <w:left w:type="dxa" w:w="100"/>
              <w:bottom w:type="dxa" w:w="50"/>
              <w:right w:type="dxa" w:w="100"/>
            </w:tcMar>
            <w:vAlign w:val="center"/>
          </w:tcPr>
          <w:p>
            <w:r>
              <w:rPr>
                <w:b w:val="false"/>
                <w:bCs w:val="false"/>
                <w:color w:val="000000"/>
                <w:sz w:val="18"/>
                <w:szCs w:val="18"/>
              </w:rPr>
              <w:t xml:space="preserve">~22.4%</w:t>
            </w:r>
          </w:p>
        </w:tc>
        <w:tc>
          <w:tcPr>
            <w:tcW w:type="dxa" w:w="3116"/>
            <w:tcMar>
              <w:top w:type="dxa" w:w="50"/>
              <w:left w:type="dxa" w:w="100"/>
              <w:bottom w:type="dxa" w:w="50"/>
              <w:right w:type="dxa" w:w="100"/>
            </w:tcMar>
            <w:vAlign w:val="center"/>
          </w:tcPr>
          <w:p>
            <w:r>
              <w:rPr>
                <w:b w:val="false"/>
                <w:bCs w:val="false"/>
                <w:color w:val="000000"/>
                <w:sz w:val="18"/>
                <w:szCs w:val="18"/>
              </w:rPr>
              <w:t xml:space="preserve">Statistical benchmark / cross-check</w:t>
            </w:r>
          </w:p>
        </w:tc>
      </w:tr>
    </w:tbl>
    <w:p>
      <w:pPr>
        <w:pStyle w:val="Heading1"/>
        <w:spacing w:after="80" w:before="160"/>
      </w:pPr>
      <w:r>
        <w:rPr>
          <w:b/>
          <w:bCs/>
          <w:color w:val="1F4E79"/>
          <w:sz w:val="24"/>
          <w:szCs w:val="24"/>
        </w:rPr>
        <w:t xml:space="preserve">Top Anomalies Detected &amp; Likely Causes</w:t>
      </w:r>
    </w:p>
    <w:p>
      <w:pPr>
        <w:pStyle w:val="ListParagraph"/>
        <w:numPr>
          <w:ilvl w:val="0"/>
          <w:numId w:val="1"/>
        </w:numPr>
        <w:spacing w:after="50" w:line="260"/>
      </w:pPr>
      <w:r>
        <w:rPr>
          <w:sz w:val="19"/>
          <w:szCs w:val="19"/>
        </w:rPr>
        <w:t xml:space="preserve">Highest unusual sales weeks clustered around late November and early December — consistent with Black Friday and holiday-season promotions.</w:t>
      </w:r>
    </w:p>
    <w:p>
      <w:pPr>
        <w:pStyle w:val="ListParagraph"/>
        <w:numPr>
          <w:ilvl w:val="0"/>
          <w:numId w:val="1"/>
        </w:numPr>
        <w:spacing w:after="50" w:line="260"/>
      </w:pPr>
      <w:r>
        <w:rPr>
          <w:sz w:val="19"/>
          <w:szCs w:val="19"/>
        </w:rPr>
        <w:t xml:space="preserve">A notably high week in mid-March 2015 stands out as the single largest anomaly in the dataset, disproportionate to typical spring sales — likely a large one-off order or a regional promotion; worth a manual look-up against that week's specific orders.</w:t>
      </w:r>
    </w:p>
    <w:p>
      <w:pPr>
        <w:pStyle w:val="ListParagraph"/>
        <w:numPr>
          <w:ilvl w:val="0"/>
          <w:numId w:val="1"/>
        </w:numPr>
        <w:spacing w:after="50" w:line="260"/>
      </w:pPr>
      <w:r>
        <w:rPr>
          <w:sz w:val="19"/>
          <w:szCs w:val="19"/>
        </w:rPr>
        <w:t xml:space="preserve">The lowest sales weeks cluster in January and February, in line with the broader post-holiday slowdown identified in the seasonal analysis — not a cause for concern, but useful to plan staffing and inventory around.</w:t>
      </w:r>
    </w:p>
    <w:p>
      <w:pPr>
        <w:pStyle w:val="Heading1"/>
        <w:spacing w:after="80" w:before="160"/>
      </w:pPr>
      <w:r>
        <w:rPr>
          <w:b/>
          <w:bCs/>
          <w:color w:val="1F4E79"/>
          <w:sz w:val="24"/>
          <w:szCs w:val="24"/>
        </w:rPr>
        <w:t xml:space="preserve">Product Demand Segmentation &amp; Stocking Strategy</w:t>
      </w:r>
    </w:p>
    <w:p>
      <w:pPr>
        <w:spacing w:after="90" w:line="260"/>
      </w:pPr>
      <w:r>
        <w:rPr>
          <w:sz w:val="19"/>
          <w:szCs w:val="19"/>
        </w:rPr>
        <w:t xml:space="preserve">We grouped our 17 product sub-categories into four demand patterns based on sales volume, growth rate, and volatility. The recommended stocking approach differs meaningfully by group: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50"/>
      </w:tblGrid>
      <w:tr>
        <w:tc>
          <w:tcPr>
            <w:tcW w:type="dxa" w:w="2800"/>
            <w:shd w:fill="1F4E79" w:val="clear"/>
            <w:tcMar>
              <w:top w:type="dxa" w:w="50"/>
              <w:left w:type="dxa" w:w="100"/>
              <w:bottom w:type="dxa" w:w="50"/>
              <w:right w:type="dxa" w:w="100"/>
            </w:tcMar>
            <w:vAlign w:val="center"/>
          </w:tcPr>
          <w:p>
            <w:r>
              <w:rPr>
                <w:b/>
                <w:bCs/>
                <w:color w:val="FFFFFF"/>
                <w:sz w:val="18"/>
                <w:szCs w:val="18"/>
              </w:rPr>
              <w:t xml:space="preserve">Segment</w:t>
            </w:r>
          </w:p>
        </w:tc>
        <w:tc>
          <w:tcPr>
            <w:tcW w:type="dxa" w:w="3400"/>
            <w:shd w:fill="1F4E79" w:val="clear"/>
            <w:tcMar>
              <w:top w:type="dxa" w:w="50"/>
              <w:left w:type="dxa" w:w="100"/>
              <w:bottom w:type="dxa" w:w="50"/>
              <w:right w:type="dxa" w:w="100"/>
            </w:tcMar>
            <w:vAlign w:val="center"/>
          </w:tcPr>
          <w:p>
            <w:r>
              <w:rPr>
                <w:b/>
                <w:bCs/>
                <w:color w:val="FFFFFF"/>
                <w:sz w:val="18"/>
                <w:szCs w:val="18"/>
              </w:rPr>
              <w:t xml:space="preserve">Sub-Categories</w:t>
            </w:r>
          </w:p>
        </w:tc>
        <w:tc>
          <w:tcPr>
            <w:tcW w:type="dxa" w:w="3150"/>
            <w:shd w:fill="1F4E79" w:val="clear"/>
            <w:tcMar>
              <w:top w:type="dxa" w:w="50"/>
              <w:left w:type="dxa" w:w="100"/>
              <w:bottom w:type="dxa" w:w="50"/>
              <w:right w:type="dxa" w:w="100"/>
            </w:tcMar>
            <w:vAlign w:val="center"/>
          </w:tcPr>
          <w:p>
            <w:r>
              <w:rPr>
                <w:b/>
                <w:bCs/>
                <w:color w:val="FFFFFF"/>
                <w:sz w:val="18"/>
                <w:szCs w:val="18"/>
              </w:rPr>
              <w:t xml:space="preserve">Recommended Stocking Strategy</w:t>
            </w:r>
          </w:p>
        </w:tc>
      </w:tr>
      <w:tr>
        <w:tc>
          <w:tcPr>
            <w:tcW w:type="dxa" w:w="2800"/>
            <w:tcMar>
              <w:top w:type="dxa" w:w="50"/>
              <w:left w:type="dxa" w:w="100"/>
              <w:bottom w:type="dxa" w:w="50"/>
              <w:right w:type="dxa" w:w="100"/>
            </w:tcMar>
            <w:vAlign w:val="center"/>
          </w:tcPr>
          <w:p>
            <w:r>
              <w:rPr>
                <w:b w:val="false"/>
                <w:bCs w:val="false"/>
                <w:color w:val="000000"/>
                <w:sz w:val="18"/>
                <w:szCs w:val="18"/>
              </w:rPr>
              <w:t xml:space="preserve">High Volume, Stable Demand</w:t>
            </w:r>
          </w:p>
        </w:tc>
        <w:tc>
          <w:tcPr>
            <w:tcW w:type="dxa" w:w="3400"/>
            <w:tcMar>
              <w:top w:type="dxa" w:w="50"/>
              <w:left w:type="dxa" w:w="100"/>
              <w:bottom w:type="dxa" w:w="50"/>
              <w:right w:type="dxa" w:w="100"/>
            </w:tcMar>
            <w:vAlign w:val="center"/>
          </w:tcPr>
          <w:p>
            <w:r>
              <w:rPr>
                <w:b w:val="false"/>
                <w:bCs w:val="false"/>
                <w:color w:val="000000"/>
                <w:sz w:val="18"/>
                <w:szCs w:val="18"/>
              </w:rPr>
              <w:t xml:space="preserve">Accessories, Binders, Chairs, Phones, Storage, Tables</w:t>
            </w:r>
          </w:p>
        </w:tc>
        <w:tc>
          <w:tcPr>
            <w:tcW w:type="dxa" w:w="3150"/>
            <w:tcMar>
              <w:top w:type="dxa" w:w="50"/>
              <w:left w:type="dxa" w:w="100"/>
              <w:bottom w:type="dxa" w:w="50"/>
              <w:right w:type="dxa" w:w="100"/>
            </w:tcMar>
            <w:vAlign w:val="center"/>
          </w:tcPr>
          <w:p>
            <w:r>
              <w:rPr>
                <w:b w:val="false"/>
                <w:bCs w:val="false"/>
                <w:color w:val="000000"/>
                <w:sz w:val="18"/>
                <w:szCs w:val="18"/>
              </w:rPr>
              <w:t xml:space="preserve">Steady safety stock; simple reorder-point replenishment</w:t>
            </w:r>
          </w:p>
        </w:tc>
      </w:tr>
      <w:tr>
        <w:tc>
          <w:tcPr>
            <w:tcW w:type="dxa" w:w="2800"/>
            <w:tcMar>
              <w:top w:type="dxa" w:w="50"/>
              <w:left w:type="dxa" w:w="100"/>
              <w:bottom w:type="dxa" w:w="50"/>
              <w:right w:type="dxa" w:w="100"/>
            </w:tcMar>
            <w:vAlign w:val="center"/>
          </w:tcPr>
          <w:p>
            <w:r>
              <w:rPr>
                <w:b w:val="false"/>
                <w:bCs w:val="false"/>
                <w:color w:val="000000"/>
                <w:sz w:val="18"/>
                <w:szCs w:val="18"/>
              </w:rPr>
              <w:t xml:space="preserve">Low Volume, Stable Demand</w:t>
            </w:r>
          </w:p>
        </w:tc>
        <w:tc>
          <w:tcPr>
            <w:tcW w:type="dxa" w:w="3400"/>
            <w:tcMar>
              <w:top w:type="dxa" w:w="50"/>
              <w:left w:type="dxa" w:w="100"/>
              <w:bottom w:type="dxa" w:w="50"/>
              <w:right w:type="dxa" w:w="100"/>
            </w:tcMar>
            <w:vAlign w:val="center"/>
          </w:tcPr>
          <w:p>
            <w:r>
              <w:rPr>
                <w:b w:val="false"/>
                <w:bCs w:val="false"/>
                <w:color w:val="000000"/>
                <w:sz w:val="18"/>
                <w:szCs w:val="18"/>
              </w:rPr>
              <w:t xml:space="preserve">Appliances, Art, Bookcases, Envelopes, Fasteners, Furnishings, Labels, Paper</w:t>
            </w:r>
          </w:p>
        </w:tc>
        <w:tc>
          <w:tcPr>
            <w:tcW w:type="dxa" w:w="3150"/>
            <w:tcMar>
              <w:top w:type="dxa" w:w="50"/>
              <w:left w:type="dxa" w:w="100"/>
              <w:bottom w:type="dxa" w:w="50"/>
              <w:right w:type="dxa" w:w="100"/>
            </w:tcMar>
            <w:vAlign w:val="center"/>
          </w:tcPr>
          <w:p>
            <w:r>
              <w:rPr>
                <w:b w:val="false"/>
                <w:bCs w:val="false"/>
                <w:color w:val="000000"/>
                <w:sz w:val="18"/>
                <w:szCs w:val="18"/>
              </w:rPr>
              <w:t xml:space="preserve">Smaller, more frequent restocks to minimize holding cost</w:t>
            </w:r>
          </w:p>
        </w:tc>
      </w:tr>
      <w:tr>
        <w:tc>
          <w:tcPr>
            <w:tcW w:type="dxa" w:w="2800"/>
            <w:tcMar>
              <w:top w:type="dxa" w:w="50"/>
              <w:left w:type="dxa" w:w="100"/>
              <w:bottom w:type="dxa" w:w="50"/>
              <w:right w:type="dxa" w:w="100"/>
            </w:tcMar>
            <w:vAlign w:val="center"/>
          </w:tcPr>
          <w:p>
            <w:r>
              <w:rPr>
                <w:b w:val="false"/>
                <w:bCs w:val="false"/>
                <w:color w:val="000000"/>
                <w:sz w:val="18"/>
                <w:szCs w:val="18"/>
              </w:rPr>
              <w:t xml:space="preserve">Low Volume, High-Value, High Volatility</w:t>
            </w:r>
          </w:p>
        </w:tc>
        <w:tc>
          <w:tcPr>
            <w:tcW w:type="dxa" w:w="3400"/>
            <w:tcMar>
              <w:top w:type="dxa" w:w="50"/>
              <w:left w:type="dxa" w:w="100"/>
              <w:bottom w:type="dxa" w:w="50"/>
              <w:right w:type="dxa" w:w="100"/>
            </w:tcMar>
            <w:vAlign w:val="center"/>
          </w:tcPr>
          <w:p>
            <w:r>
              <w:rPr>
                <w:b w:val="false"/>
                <w:bCs w:val="false"/>
                <w:color w:val="000000"/>
                <w:sz w:val="18"/>
                <w:szCs w:val="18"/>
              </w:rPr>
              <w:t xml:space="preserve">Copiers, Machines</w:t>
            </w:r>
          </w:p>
        </w:tc>
        <w:tc>
          <w:tcPr>
            <w:tcW w:type="dxa" w:w="3150"/>
            <w:tcMar>
              <w:top w:type="dxa" w:w="50"/>
              <w:left w:type="dxa" w:w="100"/>
              <w:bottom w:type="dxa" w:w="50"/>
              <w:right w:type="dxa" w:w="100"/>
            </w:tcMar>
            <w:vAlign w:val="center"/>
          </w:tcPr>
          <w:p>
            <w:r>
              <w:rPr>
                <w:b w:val="false"/>
                <w:bCs w:val="false"/>
                <w:color w:val="000000"/>
                <w:sz w:val="18"/>
                <w:szCs w:val="18"/>
              </w:rPr>
              <w:t xml:space="preserve">Made-to-order / pre-order model to avoid expensive dead stock</w:t>
            </w:r>
          </w:p>
        </w:tc>
      </w:tr>
      <w:tr>
        <w:tc>
          <w:tcPr>
            <w:tcW w:type="dxa" w:w="2800"/>
            <w:tcMar>
              <w:top w:type="dxa" w:w="50"/>
              <w:left w:type="dxa" w:w="100"/>
              <w:bottom w:type="dxa" w:w="50"/>
              <w:right w:type="dxa" w:w="100"/>
            </w:tcMar>
            <w:vAlign w:val="center"/>
          </w:tcPr>
          <w:p>
            <w:r>
              <w:rPr>
                <w:b w:val="false"/>
                <w:bCs w:val="false"/>
                <w:color w:val="000000"/>
                <w:sz w:val="18"/>
                <w:szCs w:val="18"/>
              </w:rPr>
              <w:t xml:space="preserve">Growing Demand</w:t>
            </w:r>
          </w:p>
        </w:tc>
        <w:tc>
          <w:tcPr>
            <w:tcW w:type="dxa" w:w="3400"/>
            <w:tcMar>
              <w:top w:type="dxa" w:w="50"/>
              <w:left w:type="dxa" w:w="100"/>
              <w:bottom w:type="dxa" w:w="50"/>
              <w:right w:type="dxa" w:w="100"/>
            </w:tcMar>
            <w:vAlign w:val="center"/>
          </w:tcPr>
          <w:p>
            <w:r>
              <w:rPr>
                <w:b w:val="false"/>
                <w:bCs w:val="false"/>
                <w:color w:val="000000"/>
                <w:sz w:val="18"/>
                <w:szCs w:val="18"/>
              </w:rPr>
              <w:t xml:space="preserve">Supplies</w:t>
            </w:r>
          </w:p>
        </w:tc>
        <w:tc>
          <w:tcPr>
            <w:tcW w:type="dxa" w:w="3150"/>
            <w:tcMar>
              <w:top w:type="dxa" w:w="50"/>
              <w:left w:type="dxa" w:w="100"/>
              <w:bottom w:type="dxa" w:w="50"/>
              <w:right w:type="dxa" w:w="100"/>
            </w:tcMar>
            <w:vAlign w:val="center"/>
          </w:tcPr>
          <w:p>
            <w:r>
              <w:rPr>
                <w:b w:val="false"/>
                <w:bCs w:val="false"/>
                <w:color w:val="000000"/>
                <w:sz w:val="18"/>
                <w:szCs w:val="18"/>
              </w:rPr>
              <w:t xml:space="preserve">Increase allocation ahead of trend; historical averages will understate need</w:t>
            </w:r>
          </w:p>
        </w:tc>
      </w:tr>
    </w:tbl>
    <w:p>
      <w:pPr>
        <w:pStyle w:val="Heading1"/>
        <w:spacing w:after="80" w:before="160"/>
      </w:pPr>
      <w:r>
        <w:rPr>
          <w:b/>
          <w:bCs/>
          <w:color w:val="1F4E79"/>
          <w:sz w:val="24"/>
          <w:szCs w:val="24"/>
        </w:rPr>
        <w:t xml:space="preserve">Business Recommendations</w:t>
      </w:r>
    </w:p>
    <w:p>
      <w:pPr>
        <w:pStyle w:val="ListParagraph"/>
        <w:numPr>
          <w:ilvl w:val="0"/>
          <w:numId w:val="1"/>
        </w:numPr>
        <w:spacing w:after="50" w:line="260"/>
      </w:pPr>
      <w:r>
        <w:rPr>
          <w:sz w:val="19"/>
          <w:szCs w:val="19"/>
        </w:rPr>
        <w:t xml:space="preserve">Build seasonal staffing and inventory plans around the confirmed September/November/December peaks and January/February trough, rather than planning to a flat monthly average — the swing between the strongest and weakest months is large and highly predictable.</w:t>
      </w:r>
    </w:p>
    <w:p>
      <w:pPr>
        <w:pStyle w:val="ListParagraph"/>
        <w:numPr>
          <w:ilvl w:val="0"/>
          <w:numId w:val="1"/>
        </w:numPr>
        <w:spacing w:after="50" w:line="260"/>
      </w:pPr>
      <w:r>
        <w:rPr>
          <w:sz w:val="19"/>
          <w:szCs w:val="19"/>
        </w:rPr>
        <w:t xml:space="preserve">Move Copiers and Machines to a made-to-order or pre-order stocking model rather than holding standing inventory — these are high-value, high-volatility items where a single large order can leave the business holding expensive dead stock.</w:t>
      </w:r>
    </w:p>
    <w:p>
      <w:pPr>
        <w:pStyle w:val="ListParagraph"/>
        <w:numPr>
          <w:ilvl w:val="0"/>
          <w:numId w:val="1"/>
        </w:numPr>
        <w:spacing w:after="50" w:line="260"/>
      </w:pPr>
      <w:r>
        <w:rPr>
          <w:sz w:val="19"/>
          <w:szCs w:val="19"/>
        </w:rPr>
        <w:t xml:space="preserve">Increase inventory allocation for the Supplies sub-category ahead of demand — it is growing substantially faster than every other sub-category, and continuing to stock it at historical average levels will likely lead to shortages.</w:t>
      </w:r>
    </w:p>
    <w:p>
      <w:pPr>
        <w:pStyle w:val="Heading1"/>
        <w:spacing w:after="80" w:before="160"/>
      </w:pPr>
      <w:r>
        <w:rPr>
          <w:b/>
          <w:bCs/>
          <w:color w:val="1F4E79"/>
          <w:sz w:val="24"/>
          <w:szCs w:val="24"/>
        </w:rPr>
        <w:t xml:space="preserve">Risk &amp; Limitation</w:t>
      </w:r>
    </w:p>
    <w:p>
      <w:pPr>
        <w:spacing w:after="90" w:line="260"/>
      </w:pPr>
      <w:r>
        <w:rPr>
          <w:sz w:val="19"/>
          <w:szCs w:val="19"/>
        </w:rPr>
        <w:t xml:space="preserve">This system is built on four years of historical data (2015–2018), and all three forecasting models — including the recommended one — were validated on only three held-out months. That is a small test set, so the specific ranking between models (and the exact forecast numbers above) should be treated as a good current best estimate rather than a permanent conclusion. We recommend re-validating the model choice every quarter as new sales data comes in, and treating any forecast more than 3 months out with additional caution, since accuracy generally degrades the further ahead a model is asked to predict.</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2026-07-08T09:54:09.085Z</dcterms:created>
  <dcterms:modified xsi:type="dcterms:W3CDTF">2026-07-08T09:54:09.085Z</dcterms:modified>
</cp:coreProperties>
</file>

<file path=docProps/custom.xml><?xml version="1.0" encoding="utf-8"?>
<Properties xmlns="http://schemas.openxmlformats.org/officeDocument/2006/custom-properties" xmlns:vt="http://schemas.openxmlformats.org/officeDocument/2006/docPropsVTypes"/>
</file>