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FA97F" w14:textId="3733A6E9" w:rsidR="00ED2EDC" w:rsidRPr="009907B1" w:rsidRDefault="003D608D" w:rsidP="003D608D">
      <w:pPr>
        <w:pStyle w:val="Title"/>
      </w:pPr>
      <w:r w:rsidRPr="009907B1">
        <w:t>Assignment 2</w:t>
      </w:r>
    </w:p>
    <w:p w14:paraId="142EE61D" w14:textId="0E865A9A" w:rsidR="009907B1" w:rsidRPr="009907B1" w:rsidRDefault="009907B1" w:rsidP="009907B1">
      <w:pPr>
        <w:pStyle w:val="Title"/>
      </w:pPr>
      <w:r w:rsidRPr="009907B1">
        <w:t>Paper 1</w:t>
      </w:r>
    </w:p>
    <w:p w14:paraId="3755FE3B" w14:textId="028AE5D9" w:rsidR="009907B1" w:rsidRDefault="009907B1" w:rsidP="008D5AE1">
      <w:pPr>
        <w:pStyle w:val="Heading1"/>
        <w:rPr>
          <w:rFonts w:ascii="Verdana Pro Cond" w:hAnsi="Verdana Pro Cond"/>
        </w:rPr>
      </w:pPr>
      <w:r w:rsidRPr="009907B1">
        <w:rPr>
          <w:rFonts w:ascii="Verdana Pro Cond" w:hAnsi="Verdana Pro Cond"/>
        </w:rPr>
        <w:t>Question 1:</w:t>
      </w:r>
    </w:p>
    <w:p w14:paraId="14CF9A91" w14:textId="3FABB911" w:rsidR="008D5AE1" w:rsidRPr="00534919" w:rsidRDefault="008D5AE1" w:rsidP="008D5AE1">
      <w:pPr>
        <w:rPr>
          <w:rFonts w:ascii="Verdana Pro Cond" w:hAnsi="Verdana Pro Cond"/>
          <w:b/>
          <w:bCs/>
        </w:rPr>
      </w:pPr>
      <w:r w:rsidRPr="00534919">
        <w:rPr>
          <w:rFonts w:ascii="Verdana Pro Cond" w:hAnsi="Verdana Pro Cond"/>
          <w:b/>
          <w:bCs/>
        </w:rPr>
        <w:t>Physical contracts</w:t>
      </w:r>
      <w:r w:rsidR="00560496" w:rsidRPr="00534919">
        <w:rPr>
          <w:rFonts w:ascii="Verdana Pro Cond" w:hAnsi="Verdana Pro Cond"/>
          <w:b/>
          <w:bCs/>
        </w:rPr>
        <w:t xml:space="preserve"> (Time Charter)</w:t>
      </w:r>
      <w:r w:rsidRPr="00534919">
        <w:rPr>
          <w:rFonts w:ascii="Verdana Pro Cond" w:hAnsi="Verdana Pro Cond"/>
          <w:b/>
          <w:bCs/>
        </w:rPr>
        <w:t>:</w:t>
      </w:r>
    </w:p>
    <w:p w14:paraId="6BD2E880" w14:textId="095E0F3B" w:rsidR="00560496" w:rsidRPr="00534919" w:rsidRDefault="008D5AE1" w:rsidP="008D5AE1">
      <w:pPr>
        <w:rPr>
          <w:rFonts w:ascii="Verdana Pro Cond" w:hAnsi="Verdana Pro Cond"/>
          <w:sz w:val="22"/>
          <w:szCs w:val="22"/>
        </w:rPr>
      </w:pPr>
      <w:r w:rsidRPr="00534919">
        <w:rPr>
          <w:rFonts w:ascii="Verdana Pro Cond" w:hAnsi="Verdana Pro Cond"/>
          <w:sz w:val="22"/>
          <w:szCs w:val="22"/>
        </w:rPr>
        <w:t>Physical contracts, like Time Charter, gives the charterer control over a vehicle commercially. They also give access to a transportation service</w:t>
      </w:r>
      <w:r w:rsidR="00CD173E" w:rsidRPr="00534919">
        <w:rPr>
          <w:rFonts w:ascii="Verdana Pro Cond" w:hAnsi="Verdana Pro Cond"/>
          <w:sz w:val="22"/>
          <w:szCs w:val="22"/>
        </w:rPr>
        <w:t xml:space="preserve"> for a certain </w:t>
      </w:r>
      <w:r w:rsidR="00534919" w:rsidRPr="00534919">
        <w:rPr>
          <w:rFonts w:ascii="Verdana Pro Cond" w:hAnsi="Verdana Pro Cond"/>
          <w:sz w:val="22"/>
          <w:szCs w:val="22"/>
        </w:rPr>
        <w:t>period</w:t>
      </w:r>
      <w:r w:rsidR="00CD173E" w:rsidRPr="00534919">
        <w:rPr>
          <w:rFonts w:ascii="Verdana Pro Cond" w:hAnsi="Verdana Pro Cond"/>
          <w:sz w:val="22"/>
          <w:szCs w:val="22"/>
        </w:rPr>
        <w:t xml:space="preserve">. The charterer can freely decide the operational route and other logistics to optimize the profit. </w:t>
      </w:r>
      <w:r w:rsidR="00560496" w:rsidRPr="00534919">
        <w:rPr>
          <w:rFonts w:ascii="Verdana Pro Cond" w:hAnsi="Verdana Pro Cond"/>
          <w:sz w:val="22"/>
          <w:szCs w:val="22"/>
        </w:rPr>
        <w:t xml:space="preserve"> Another advantage is that time charters have fixed rates, thus simplifying accounting.</w:t>
      </w:r>
    </w:p>
    <w:p w14:paraId="0BED72D6" w14:textId="77777777" w:rsidR="00560496" w:rsidRPr="00534919" w:rsidRDefault="00560496" w:rsidP="008D5AE1">
      <w:pPr>
        <w:rPr>
          <w:rFonts w:ascii="Verdana Pro Cond" w:hAnsi="Verdana Pro Cond"/>
          <w:sz w:val="22"/>
          <w:szCs w:val="22"/>
        </w:rPr>
      </w:pPr>
      <w:r w:rsidRPr="00534919">
        <w:rPr>
          <w:rFonts w:ascii="Verdana Pro Cond" w:hAnsi="Verdana Pro Cond"/>
          <w:sz w:val="22"/>
          <w:szCs w:val="22"/>
        </w:rPr>
        <w:t>Physical contracts also have disadvantages. They are not flexible. Once a vessel is chosen it cannot be changed since contract termination can be very costly. There is also a default or counterparty risk since they are bilateral contracts.</w:t>
      </w:r>
    </w:p>
    <w:p w14:paraId="176F0E4B" w14:textId="29D43DBA" w:rsidR="00560496" w:rsidRPr="00534919" w:rsidRDefault="00560496" w:rsidP="008D5AE1">
      <w:pPr>
        <w:rPr>
          <w:rFonts w:ascii="Verdana Pro Cond" w:hAnsi="Verdana Pro Cond"/>
          <w:b/>
          <w:bCs/>
        </w:rPr>
      </w:pPr>
      <w:r w:rsidRPr="00534919">
        <w:rPr>
          <w:rFonts w:ascii="Verdana Pro Cond" w:hAnsi="Verdana Pro Cond"/>
          <w:b/>
          <w:bCs/>
        </w:rPr>
        <w:t>Financial Contracts (F</w:t>
      </w:r>
      <w:r w:rsidRPr="00534919">
        <w:rPr>
          <w:rFonts w:ascii="Verdana Pro Cond" w:hAnsi="Verdana Pro Cond"/>
          <w:b/>
          <w:bCs/>
        </w:rPr>
        <w:t xml:space="preserve">orward </w:t>
      </w:r>
      <w:r w:rsidRPr="00534919">
        <w:rPr>
          <w:rFonts w:ascii="Verdana Pro Cond" w:hAnsi="Verdana Pro Cond"/>
          <w:b/>
          <w:bCs/>
        </w:rPr>
        <w:t>F</w:t>
      </w:r>
      <w:r w:rsidRPr="00534919">
        <w:rPr>
          <w:rFonts w:ascii="Verdana Pro Cond" w:hAnsi="Verdana Pro Cond"/>
          <w:b/>
          <w:bCs/>
        </w:rPr>
        <w:t xml:space="preserve">reight </w:t>
      </w:r>
      <w:r w:rsidRPr="00534919">
        <w:rPr>
          <w:rFonts w:ascii="Verdana Pro Cond" w:hAnsi="Verdana Pro Cond"/>
          <w:b/>
          <w:bCs/>
        </w:rPr>
        <w:t>A</w:t>
      </w:r>
      <w:r w:rsidRPr="00534919">
        <w:rPr>
          <w:rFonts w:ascii="Verdana Pro Cond" w:hAnsi="Verdana Pro Cond"/>
          <w:b/>
          <w:bCs/>
        </w:rPr>
        <w:t>greement</w:t>
      </w:r>
      <w:r w:rsidR="008744C0" w:rsidRPr="00534919">
        <w:rPr>
          <w:rFonts w:ascii="Verdana Pro Cond" w:hAnsi="Verdana Pro Cond"/>
          <w:b/>
          <w:bCs/>
        </w:rPr>
        <w:t>, F</w:t>
      </w:r>
      <w:r w:rsidR="008744C0" w:rsidRPr="00534919">
        <w:rPr>
          <w:rFonts w:ascii="Verdana Pro Cond" w:hAnsi="Verdana Pro Cond"/>
          <w:b/>
          <w:bCs/>
        </w:rPr>
        <w:t xml:space="preserve">reight </w:t>
      </w:r>
      <w:r w:rsidR="008744C0" w:rsidRPr="00534919">
        <w:rPr>
          <w:rFonts w:ascii="Verdana Pro Cond" w:hAnsi="Verdana Pro Cond"/>
          <w:b/>
          <w:bCs/>
        </w:rPr>
        <w:t>O</w:t>
      </w:r>
      <w:r w:rsidR="008744C0" w:rsidRPr="00534919">
        <w:rPr>
          <w:rFonts w:ascii="Verdana Pro Cond" w:hAnsi="Verdana Pro Cond"/>
          <w:b/>
          <w:bCs/>
        </w:rPr>
        <w:t>ptions</w:t>
      </w:r>
      <w:r w:rsidRPr="00534919">
        <w:rPr>
          <w:rFonts w:ascii="Verdana Pro Cond" w:hAnsi="Verdana Pro Cond"/>
          <w:b/>
          <w:bCs/>
        </w:rPr>
        <w:t>):</w:t>
      </w:r>
    </w:p>
    <w:p w14:paraId="564D7584" w14:textId="48EFCAA7" w:rsidR="00560496" w:rsidRPr="00534919" w:rsidRDefault="00534919" w:rsidP="008D5AE1">
      <w:pPr>
        <w:rPr>
          <w:rFonts w:ascii="Verdana Pro Cond" w:hAnsi="Verdana Pro Cond"/>
          <w:sz w:val="22"/>
          <w:szCs w:val="22"/>
        </w:rPr>
      </w:pPr>
      <w:r w:rsidRPr="00534919">
        <w:rPr>
          <w:rFonts w:ascii="Verdana Pro Cond" w:hAnsi="Verdana Pro Cond"/>
          <w:sz w:val="22"/>
          <w:szCs w:val="22"/>
        </w:rPr>
        <w:t>Financial contracts, being cash-settlement provides the advantages of providing higher flexibility since they are not tied to a particular vessel. They also have lower risk since they are cleared by a clearing house.</w:t>
      </w:r>
    </w:p>
    <w:p w14:paraId="1A61DD34" w14:textId="4185334A" w:rsidR="00534919" w:rsidRPr="00534919" w:rsidRDefault="00534919" w:rsidP="008D5AE1">
      <w:pPr>
        <w:rPr>
          <w:rFonts w:ascii="Verdana Pro Cond" w:hAnsi="Verdana Pro Cond"/>
          <w:sz w:val="22"/>
          <w:szCs w:val="22"/>
        </w:rPr>
      </w:pPr>
      <w:r w:rsidRPr="00534919">
        <w:rPr>
          <w:rFonts w:ascii="Verdana Pro Cond" w:hAnsi="Verdana Pro Cond"/>
          <w:sz w:val="22"/>
          <w:szCs w:val="22"/>
        </w:rPr>
        <w:t xml:space="preserve">Financial contracts </w:t>
      </w:r>
      <w:r w:rsidR="005266B1" w:rsidRPr="00534919">
        <w:rPr>
          <w:rFonts w:ascii="Verdana Pro Cond" w:hAnsi="Verdana Pro Cond"/>
          <w:sz w:val="22"/>
          <w:szCs w:val="22"/>
        </w:rPr>
        <w:t>do</w:t>
      </w:r>
      <w:r w:rsidRPr="00534919">
        <w:rPr>
          <w:rFonts w:ascii="Verdana Pro Cond" w:hAnsi="Verdana Pro Cond"/>
          <w:sz w:val="22"/>
          <w:szCs w:val="22"/>
        </w:rPr>
        <w:t xml:space="preserve"> not provide access to a vessel. They also induce a chance for cash flow differences (basis risk)</w:t>
      </w:r>
      <w:r>
        <w:rPr>
          <w:rFonts w:ascii="Verdana Pro Cond" w:hAnsi="Verdana Pro Cond"/>
          <w:sz w:val="22"/>
          <w:szCs w:val="22"/>
        </w:rPr>
        <w:t xml:space="preserve"> due to differences in vessel specifications, trading patterns and contract timings</w:t>
      </w:r>
      <w:r w:rsidRPr="00534919">
        <w:rPr>
          <w:rFonts w:ascii="Verdana Pro Cond" w:hAnsi="Verdana Pro Cond"/>
          <w:sz w:val="22"/>
          <w:szCs w:val="22"/>
        </w:rPr>
        <w:t>.</w:t>
      </w:r>
    </w:p>
    <w:p w14:paraId="2606E3B3" w14:textId="0F68E0DF" w:rsidR="003D608D" w:rsidRPr="00AE728E" w:rsidRDefault="009907B1" w:rsidP="00AE728E">
      <w:pPr>
        <w:pStyle w:val="Heading1"/>
        <w:rPr>
          <w:rFonts w:ascii="Verdana Pro Cond" w:hAnsi="Verdana Pro Cond"/>
          <w:sz w:val="22"/>
          <w:szCs w:val="22"/>
        </w:rPr>
      </w:pPr>
      <w:r w:rsidRPr="00AE728E">
        <w:rPr>
          <w:rFonts w:ascii="Verdana Pro Cond" w:hAnsi="Verdana Pro Cond"/>
        </w:rPr>
        <w:t>Question 2:</w:t>
      </w:r>
    </w:p>
    <w:p w14:paraId="3E1140A7" w14:textId="77777777" w:rsidR="00B15298" w:rsidRPr="00AE728E" w:rsidRDefault="00534919" w:rsidP="009907B1">
      <w:pPr>
        <w:rPr>
          <w:rFonts w:ascii="Verdana Pro Cond" w:hAnsi="Verdana Pro Cond"/>
          <w:sz w:val="22"/>
          <w:szCs w:val="22"/>
        </w:rPr>
      </w:pPr>
      <w:r w:rsidRPr="00AE728E">
        <w:rPr>
          <w:rFonts w:ascii="Verdana Pro Cond" w:hAnsi="Verdana Pro Cond"/>
          <w:sz w:val="22"/>
          <w:szCs w:val="22"/>
        </w:rPr>
        <w:t>Convenience Yield is the value we associate with having a</w:t>
      </w:r>
      <w:r w:rsidR="00B15298" w:rsidRPr="00AE728E">
        <w:rPr>
          <w:rFonts w:ascii="Verdana Pro Cond" w:hAnsi="Verdana Pro Cond"/>
          <w:sz w:val="22"/>
          <w:szCs w:val="22"/>
        </w:rPr>
        <w:t>ccess</w:t>
      </w:r>
      <w:r w:rsidRPr="00AE728E">
        <w:rPr>
          <w:rFonts w:ascii="Verdana Pro Cond" w:hAnsi="Verdana Pro Cond"/>
          <w:sz w:val="22"/>
          <w:szCs w:val="22"/>
        </w:rPr>
        <w:t xml:space="preserve"> </w:t>
      </w:r>
      <w:r w:rsidR="00B15298" w:rsidRPr="00AE728E">
        <w:rPr>
          <w:rFonts w:ascii="Verdana Pro Cond" w:hAnsi="Verdana Pro Cond"/>
          <w:sz w:val="22"/>
          <w:szCs w:val="22"/>
        </w:rPr>
        <w:t>to a vessel, which is available for transportation services. We can choose its operations, trading routes and logistics to optimize profits. A time charter generally costs higher than freight derivatives because it includes this convenience yield.</w:t>
      </w:r>
    </w:p>
    <w:p w14:paraId="048462EB" w14:textId="77777777" w:rsidR="00AE728E" w:rsidRPr="00AE728E" w:rsidRDefault="00B15298" w:rsidP="009907B1">
      <w:pPr>
        <w:rPr>
          <w:rFonts w:ascii="Verdana Pro Cond" w:hAnsi="Verdana Pro Cond"/>
          <w:sz w:val="22"/>
          <w:szCs w:val="22"/>
        </w:rPr>
      </w:pPr>
      <w:r w:rsidRPr="00AE728E">
        <w:rPr>
          <w:rFonts w:ascii="Verdana Pro Cond" w:hAnsi="Verdana Pro Cond"/>
          <w:sz w:val="22"/>
          <w:szCs w:val="22"/>
        </w:rPr>
        <w:t xml:space="preserve"> In periods with high demand for vessels, the convenience yield is high since having access to a vessel becomes expensive. In periods with low demand, there is excess supply of vessels hence convenience yield is low.</w:t>
      </w:r>
    </w:p>
    <w:p w14:paraId="1A7CD1EA" w14:textId="7638BD6E" w:rsidR="009907B1" w:rsidRPr="009907B1" w:rsidRDefault="00AE728E" w:rsidP="009907B1">
      <w:pPr>
        <w:rPr>
          <w:rFonts w:ascii="Verdana Pro Cond" w:hAnsi="Verdana Pro Cond"/>
        </w:rPr>
      </w:pPr>
      <w:r w:rsidRPr="00AE728E">
        <w:rPr>
          <w:rFonts w:ascii="Verdana Pro Cond" w:hAnsi="Verdana Pro Cond"/>
          <w:sz w:val="22"/>
          <w:szCs w:val="22"/>
        </w:rPr>
        <w:t>Example – During the 2008 global financial crisis, there were geopolitical tensions, especially in the Middle East were at their peak. There was a rush to buy and secure oil. This led to a shortage of oil carrying vessels, leading to a very high convenience yield.</w:t>
      </w:r>
      <w:r w:rsidR="008D5AE1">
        <w:rPr>
          <w:rFonts w:ascii="Verdana Pro Cond" w:hAnsi="Verdana Pro Cond"/>
        </w:rPr>
        <w:br w:type="page"/>
      </w:r>
    </w:p>
    <w:p w14:paraId="60877BD6" w14:textId="0208B408" w:rsidR="009907B1" w:rsidRPr="009907B1" w:rsidRDefault="009907B1" w:rsidP="009907B1">
      <w:pPr>
        <w:pStyle w:val="Heading1"/>
        <w:rPr>
          <w:rFonts w:ascii="Verdana Pro Cond" w:hAnsi="Verdana Pro Cond"/>
        </w:rPr>
      </w:pPr>
      <w:r w:rsidRPr="009907B1">
        <w:rPr>
          <w:rFonts w:ascii="Verdana Pro Cond" w:hAnsi="Verdana Pro Cond"/>
        </w:rPr>
        <w:lastRenderedPageBreak/>
        <w:t>Question 3:</w:t>
      </w:r>
    </w:p>
    <w:p w14:paraId="46655176" w14:textId="5E799815" w:rsidR="00D12C7E" w:rsidRPr="00D12C7E" w:rsidRDefault="00D12C7E" w:rsidP="009907B1">
      <w:pPr>
        <w:rPr>
          <w:rFonts w:ascii="Verdana Pro Cond" w:hAnsi="Verdana Pro Cond"/>
          <w:sz w:val="22"/>
          <w:szCs w:val="22"/>
        </w:rPr>
      </w:pPr>
      <w:r w:rsidRPr="00D12C7E">
        <w:rPr>
          <w:rFonts w:ascii="Verdana Pro Cond" w:hAnsi="Verdana Pro Cond"/>
          <w:sz w:val="22"/>
          <w:szCs w:val="22"/>
        </w:rPr>
        <w:t xml:space="preserve">The author empirically evaluates the dynamic differential between the time series of TC and FFA rates. They </w:t>
      </w:r>
      <w:r w:rsidRPr="00D12C7E">
        <w:rPr>
          <w:rFonts w:ascii="Verdana Pro Cond" w:hAnsi="Verdana Pro Cond"/>
          <w:sz w:val="22"/>
          <w:szCs w:val="22"/>
        </w:rPr>
        <w:t>address the characteristics of the time-varying risk premium or convenience yield that this differential represents from a theoretical point of view</w:t>
      </w:r>
      <w:r w:rsidRPr="00D12C7E">
        <w:rPr>
          <w:rFonts w:ascii="Verdana Pro Cond" w:hAnsi="Verdana Pro Cond"/>
          <w:sz w:val="22"/>
          <w:szCs w:val="22"/>
        </w:rPr>
        <w:t>. The Efficient Market Hypothesis and No Arbitrage principles were used, asserting discounted cash flow from TC and equivalent FFA should be equal. However</w:t>
      </w:r>
      <w:r>
        <w:rPr>
          <w:rFonts w:ascii="Verdana Pro Cond" w:hAnsi="Verdana Pro Cond"/>
          <w:sz w:val="22"/>
          <w:szCs w:val="22"/>
        </w:rPr>
        <w:t>,</w:t>
      </w:r>
      <w:r w:rsidRPr="00D12C7E">
        <w:rPr>
          <w:rFonts w:ascii="Verdana Pro Cond" w:hAnsi="Verdana Pro Cond"/>
          <w:sz w:val="22"/>
          <w:szCs w:val="22"/>
        </w:rPr>
        <w:t xml:space="preserve"> the differences in risk and convenience yield </w:t>
      </w:r>
      <w:r w:rsidR="00E41695">
        <w:rPr>
          <w:rFonts w:ascii="Verdana Pro Cond" w:hAnsi="Verdana Pro Cond"/>
          <w:sz w:val="22"/>
          <w:szCs w:val="22"/>
        </w:rPr>
        <w:t xml:space="preserve">result in a </w:t>
      </w:r>
      <w:r w:rsidRPr="00D12C7E">
        <w:rPr>
          <w:rFonts w:ascii="Verdana Pro Cond" w:hAnsi="Verdana Pro Cond"/>
          <w:sz w:val="22"/>
          <w:szCs w:val="22"/>
        </w:rPr>
        <w:t xml:space="preserve">persistent differential. </w:t>
      </w:r>
    </w:p>
    <w:p w14:paraId="41C8DF31" w14:textId="37AE2A77" w:rsidR="00D12C7E" w:rsidRDefault="00D12C7E" w:rsidP="009907B1">
      <w:pPr>
        <w:rPr>
          <w:rFonts w:ascii="Verdana Pro Cond" w:hAnsi="Verdana Pro Cond"/>
          <w:sz w:val="22"/>
          <w:szCs w:val="22"/>
        </w:rPr>
      </w:pPr>
      <w:r>
        <w:rPr>
          <w:rFonts w:ascii="Verdana Pro Cond" w:hAnsi="Verdana Pro Cond"/>
          <w:sz w:val="22"/>
          <w:szCs w:val="22"/>
        </w:rPr>
        <w:t>The author used</w:t>
      </w:r>
      <w:r w:rsidRPr="00D12C7E">
        <w:rPr>
          <w:rFonts w:ascii="Verdana Pro Cond" w:hAnsi="Verdana Pro Cond"/>
          <w:sz w:val="22"/>
          <w:szCs w:val="22"/>
        </w:rPr>
        <w:t xml:space="preserve"> Johansen cointegration test</w:t>
      </w:r>
      <w:r w:rsidRPr="00D12C7E">
        <w:rPr>
          <w:rFonts w:ascii="Verdana Pro Cond" w:hAnsi="Verdana Pro Cond"/>
          <w:sz w:val="22"/>
          <w:szCs w:val="22"/>
        </w:rPr>
        <w:t xml:space="preserve"> </w:t>
      </w:r>
      <w:r>
        <w:rPr>
          <w:rFonts w:ascii="Verdana Pro Cond" w:hAnsi="Verdana Pro Cond"/>
          <w:sz w:val="22"/>
          <w:szCs w:val="22"/>
        </w:rPr>
        <w:t xml:space="preserve">to </w:t>
      </w:r>
      <w:r w:rsidRPr="00D12C7E">
        <w:rPr>
          <w:rFonts w:ascii="Verdana Pro Cond" w:hAnsi="Verdana Pro Cond"/>
          <w:sz w:val="22"/>
          <w:szCs w:val="22"/>
        </w:rPr>
        <w:t>statistically test the for the co-integration of the time-charter and FFA rates</w:t>
      </w:r>
      <w:r w:rsidR="00E41695">
        <w:rPr>
          <w:rFonts w:ascii="Verdana Pro Cond" w:hAnsi="Verdana Pro Cond"/>
          <w:sz w:val="22"/>
          <w:szCs w:val="22"/>
        </w:rPr>
        <w:t>.</w:t>
      </w:r>
      <w:r w:rsidRPr="00D12C7E">
        <w:rPr>
          <w:rFonts w:ascii="Verdana Pro Cond" w:hAnsi="Verdana Pro Cond"/>
          <w:sz w:val="22"/>
          <w:szCs w:val="22"/>
        </w:rPr>
        <w:t xml:space="preserve"> </w:t>
      </w:r>
      <w:r w:rsidR="00E41695">
        <w:rPr>
          <w:rFonts w:ascii="Verdana Pro Cond" w:hAnsi="Verdana Pro Cond"/>
          <w:sz w:val="22"/>
          <w:szCs w:val="22"/>
        </w:rPr>
        <w:t xml:space="preserve">Then </w:t>
      </w:r>
      <w:r w:rsidRPr="00D12C7E">
        <w:rPr>
          <w:rFonts w:ascii="Verdana Pro Cond" w:hAnsi="Verdana Pro Cond"/>
          <w:sz w:val="22"/>
          <w:szCs w:val="22"/>
        </w:rPr>
        <w:t>perform</w:t>
      </w:r>
      <w:r w:rsidR="00E41695">
        <w:rPr>
          <w:rFonts w:ascii="Verdana Pro Cond" w:hAnsi="Verdana Pro Cond"/>
          <w:sz w:val="22"/>
          <w:szCs w:val="22"/>
        </w:rPr>
        <w:t>ed</w:t>
      </w:r>
      <w:r w:rsidRPr="00D12C7E">
        <w:rPr>
          <w:rFonts w:ascii="Verdana Pro Cond" w:hAnsi="Verdana Pro Cond"/>
          <w:sz w:val="22"/>
          <w:szCs w:val="22"/>
        </w:rPr>
        <w:t xml:space="preserve"> Likelihood Ratio tests on the restriction implied by the EMH.</w:t>
      </w:r>
    </w:p>
    <w:p w14:paraId="4EAA99A4" w14:textId="0033C87E" w:rsidR="00D12C7E" w:rsidRPr="00E41695" w:rsidRDefault="00E41695" w:rsidP="009907B1">
      <w:pPr>
        <w:rPr>
          <w:rFonts w:ascii="Verdana Pro Cond" w:hAnsi="Verdana Pro Cond"/>
          <w:sz w:val="22"/>
          <w:szCs w:val="22"/>
        </w:rPr>
      </w:pPr>
      <w:r>
        <w:rPr>
          <w:rFonts w:ascii="Verdana Pro Cond" w:hAnsi="Verdana Pro Cond"/>
          <w:sz w:val="22"/>
          <w:szCs w:val="22"/>
        </w:rPr>
        <w:t xml:space="preserve">Next the author wanted to assess </w:t>
      </w:r>
      <w:r w:rsidRPr="00E41695">
        <w:rPr>
          <w:rFonts w:ascii="Verdana Pro Cond" w:hAnsi="Verdana Pro Cond"/>
          <w:sz w:val="22"/>
          <w:szCs w:val="22"/>
        </w:rPr>
        <w:t>the differential between the two series and its time-varying dynamics.</w:t>
      </w:r>
      <w:r>
        <w:rPr>
          <w:rFonts w:ascii="Verdana Pro Cond" w:hAnsi="Verdana Pro Cond"/>
          <w:sz w:val="22"/>
          <w:szCs w:val="22"/>
        </w:rPr>
        <w:t xml:space="preserve"> The </w:t>
      </w:r>
      <w:r w:rsidRPr="00E41695">
        <w:rPr>
          <w:rFonts w:ascii="Verdana Pro Cond" w:hAnsi="Verdana Pro Cond"/>
          <w:sz w:val="22"/>
          <w:szCs w:val="22"/>
        </w:rPr>
        <w:t>autoregressive-moving-average model</w:t>
      </w:r>
      <w:r>
        <w:rPr>
          <w:rFonts w:ascii="Verdana Pro Cond" w:hAnsi="Verdana Pro Cond"/>
          <w:sz w:val="22"/>
          <w:szCs w:val="22"/>
        </w:rPr>
        <w:t xml:space="preserve"> (ARMA-X) was used,</w:t>
      </w:r>
      <w:r w:rsidRPr="00E41695">
        <w:rPr>
          <w:rFonts w:ascii="Verdana Pro Cond" w:hAnsi="Verdana Pro Cond"/>
          <w:sz w:val="22"/>
          <w:szCs w:val="22"/>
        </w:rPr>
        <w:t xml:space="preserve"> with added linear terms describing the average</w:t>
      </w:r>
      <w:r>
        <w:rPr>
          <w:rFonts w:ascii="Verdana Pro Cond" w:hAnsi="Verdana Pro Cond"/>
          <w:sz w:val="22"/>
          <w:szCs w:val="22"/>
        </w:rPr>
        <w:t>. Then the author incorporated vessel and contract specific variables into the model to analyse their effects on TC-FFA differential.</w:t>
      </w:r>
    </w:p>
    <w:p w14:paraId="16A31E02" w14:textId="0E4322EF" w:rsidR="009907B1" w:rsidRPr="009907B1" w:rsidRDefault="009907B1" w:rsidP="009907B1">
      <w:pPr>
        <w:pStyle w:val="Heading1"/>
        <w:rPr>
          <w:rFonts w:ascii="Verdana Pro Cond" w:hAnsi="Verdana Pro Cond"/>
        </w:rPr>
      </w:pPr>
      <w:r w:rsidRPr="009907B1">
        <w:rPr>
          <w:rFonts w:ascii="Verdana Pro Cond" w:hAnsi="Verdana Pro Cond"/>
        </w:rPr>
        <w:t xml:space="preserve">Question </w:t>
      </w:r>
      <w:r w:rsidRPr="009907B1">
        <w:rPr>
          <w:rFonts w:ascii="Verdana Pro Cond" w:hAnsi="Verdana Pro Cond"/>
        </w:rPr>
        <w:t>4</w:t>
      </w:r>
      <w:r w:rsidRPr="009907B1">
        <w:rPr>
          <w:rFonts w:ascii="Verdana Pro Cond" w:hAnsi="Verdana Pro Cond"/>
        </w:rPr>
        <w:t>:</w:t>
      </w:r>
    </w:p>
    <w:p w14:paraId="696D0879" w14:textId="77777777" w:rsidR="008862DE" w:rsidRDefault="008862DE" w:rsidP="009907B1">
      <w:pPr>
        <w:rPr>
          <w:rFonts w:ascii="Verdana Pro Cond" w:hAnsi="Verdana Pro Cond"/>
          <w:b/>
          <w:bCs/>
        </w:rPr>
      </w:pPr>
      <w:r>
        <w:rPr>
          <w:rFonts w:ascii="Verdana Pro Cond" w:hAnsi="Verdana Pro Cond"/>
          <w:b/>
          <w:bCs/>
        </w:rPr>
        <w:t>Macro Level:</w:t>
      </w:r>
    </w:p>
    <w:p w14:paraId="619462DE" w14:textId="6616D362" w:rsidR="008862DE" w:rsidRDefault="008862DE" w:rsidP="009907B1">
      <w:pPr>
        <w:rPr>
          <w:rFonts w:ascii="Verdana Pro Cond" w:hAnsi="Verdana Pro Cond"/>
          <w:sz w:val="22"/>
          <w:szCs w:val="22"/>
        </w:rPr>
      </w:pPr>
      <w:r>
        <w:rPr>
          <w:rFonts w:ascii="Verdana Pro Cond" w:hAnsi="Verdana Pro Cond"/>
          <w:b/>
          <w:bCs/>
          <w:sz w:val="22"/>
          <w:szCs w:val="22"/>
        </w:rPr>
        <w:t xml:space="preserve">Convenience yield: </w:t>
      </w:r>
      <w:r>
        <w:rPr>
          <w:rFonts w:ascii="Verdana Pro Cond" w:hAnsi="Verdana Pro Cond"/>
          <w:sz w:val="22"/>
          <w:szCs w:val="22"/>
        </w:rPr>
        <w:t xml:space="preserve">TC-FFA differentials in the </w:t>
      </w:r>
      <w:proofErr w:type="spellStart"/>
      <w:r w:rsidRPr="008862DE">
        <w:rPr>
          <w:rFonts w:ascii="Verdana Pro Cond" w:hAnsi="Verdana Pro Cond"/>
          <w:sz w:val="22"/>
          <w:szCs w:val="22"/>
        </w:rPr>
        <w:t>Capesize</w:t>
      </w:r>
      <w:proofErr w:type="spellEnd"/>
      <w:r w:rsidRPr="008862DE">
        <w:rPr>
          <w:rFonts w:ascii="Verdana Pro Cond" w:hAnsi="Verdana Pro Cond"/>
          <w:sz w:val="22"/>
          <w:szCs w:val="22"/>
        </w:rPr>
        <w:t xml:space="preserve">, Panamax and </w:t>
      </w:r>
      <w:proofErr w:type="spellStart"/>
      <w:r w:rsidR="00185E7B" w:rsidRPr="008862DE">
        <w:rPr>
          <w:rFonts w:ascii="Verdana Pro Cond" w:hAnsi="Verdana Pro Cond"/>
          <w:sz w:val="22"/>
          <w:szCs w:val="22"/>
        </w:rPr>
        <w:t>Supramax</w:t>
      </w:r>
      <w:proofErr w:type="spellEnd"/>
      <w:r w:rsidR="00185E7B" w:rsidRPr="008862DE">
        <w:rPr>
          <w:rFonts w:ascii="Verdana Pro Cond" w:hAnsi="Verdana Pro Cond"/>
          <w:sz w:val="22"/>
          <w:szCs w:val="22"/>
        </w:rPr>
        <w:t xml:space="preserve"> </w:t>
      </w:r>
      <w:r w:rsidR="00185E7B">
        <w:rPr>
          <w:rFonts w:ascii="Verdana Pro Cond" w:hAnsi="Verdana Pro Cond"/>
          <w:sz w:val="22"/>
          <w:szCs w:val="22"/>
        </w:rPr>
        <w:t>follow</w:t>
      </w:r>
      <w:r>
        <w:rPr>
          <w:rFonts w:ascii="Verdana Pro Cond" w:hAnsi="Verdana Pro Cond"/>
          <w:sz w:val="22"/>
          <w:szCs w:val="22"/>
        </w:rPr>
        <w:t xml:space="preserve"> an ARMA-X process. The AR coefficients suggest that the differential is mean reverting. The coefficient of </w:t>
      </w:r>
      <w:proofErr w:type="gramStart"/>
      <w:r>
        <w:rPr>
          <w:rFonts w:ascii="Verdana Pro Cond" w:hAnsi="Verdana Pro Cond"/>
          <w:sz w:val="22"/>
          <w:szCs w:val="22"/>
        </w:rPr>
        <w:t>ln(</w:t>
      </w:r>
      <w:proofErr w:type="gramEnd"/>
      <w:r>
        <w:rPr>
          <w:rFonts w:ascii="Verdana Pro Cond" w:hAnsi="Verdana Pro Cond"/>
          <w:sz w:val="22"/>
          <w:szCs w:val="22"/>
        </w:rPr>
        <w:t xml:space="preserve">TC) </w:t>
      </w:r>
      <w:r w:rsidR="00185E7B">
        <w:rPr>
          <w:rFonts w:ascii="Verdana Pro Cond" w:hAnsi="Verdana Pro Cond"/>
          <w:sz w:val="22"/>
          <w:szCs w:val="22"/>
        </w:rPr>
        <w:t>is</w:t>
      </w:r>
      <w:r>
        <w:rPr>
          <w:rFonts w:ascii="Verdana Pro Cond" w:hAnsi="Verdana Pro Cond"/>
          <w:sz w:val="22"/>
          <w:szCs w:val="22"/>
        </w:rPr>
        <w:t xml:space="preserve"> positive and highly significant. This means TC-FFA differential is directly related to level of freight rates in the market. </w:t>
      </w:r>
    </w:p>
    <w:p w14:paraId="20499BF5" w14:textId="77777777" w:rsidR="004F24B1" w:rsidRDefault="008862DE" w:rsidP="009907B1">
      <w:pPr>
        <w:rPr>
          <w:rFonts w:ascii="Verdana Pro Cond" w:hAnsi="Verdana Pro Cond"/>
          <w:sz w:val="22"/>
          <w:szCs w:val="22"/>
        </w:rPr>
      </w:pPr>
      <w:r>
        <w:rPr>
          <w:rFonts w:ascii="Verdana Pro Cond" w:hAnsi="Verdana Pro Cond"/>
          <w:b/>
          <w:bCs/>
          <w:sz w:val="22"/>
          <w:szCs w:val="22"/>
        </w:rPr>
        <w:t xml:space="preserve">Risk Premium: </w:t>
      </w:r>
      <w:r w:rsidR="004F24B1">
        <w:rPr>
          <w:rFonts w:ascii="Verdana Pro Cond" w:hAnsi="Verdana Pro Cond"/>
          <w:sz w:val="22"/>
          <w:szCs w:val="22"/>
        </w:rPr>
        <w:t>The coefficients of market default probability (DEF) are positive and significant. This means as default risk increases, so does TC-FFA differential. Addition premium is required to offset the risk present in physical contracts compared to financial contracts. We can infer that higher freight rates could mean higher default risk, thus higher risk premium.</w:t>
      </w:r>
    </w:p>
    <w:p w14:paraId="0D7704D7" w14:textId="77777777" w:rsidR="004F24B1" w:rsidRDefault="004F24B1" w:rsidP="009907B1">
      <w:pPr>
        <w:rPr>
          <w:rFonts w:ascii="Verdana Pro Cond" w:hAnsi="Verdana Pro Cond"/>
          <w:b/>
          <w:bCs/>
        </w:rPr>
      </w:pPr>
      <w:r>
        <w:rPr>
          <w:rFonts w:ascii="Verdana Pro Cond" w:hAnsi="Verdana Pro Cond"/>
          <w:b/>
          <w:bCs/>
        </w:rPr>
        <w:t>Micro Level:</w:t>
      </w:r>
    </w:p>
    <w:p w14:paraId="31D50622" w14:textId="3C3CD8E9" w:rsidR="004F24B1" w:rsidRDefault="004F24B1" w:rsidP="009907B1">
      <w:pPr>
        <w:rPr>
          <w:rFonts w:ascii="Verdana Pro Cond" w:hAnsi="Verdana Pro Cond"/>
          <w:b/>
          <w:bCs/>
          <w:sz w:val="22"/>
          <w:szCs w:val="22"/>
        </w:rPr>
      </w:pPr>
      <w:r>
        <w:rPr>
          <w:rFonts w:ascii="Verdana Pro Cond" w:hAnsi="Verdana Pro Cond"/>
          <w:b/>
          <w:bCs/>
          <w:sz w:val="22"/>
          <w:szCs w:val="22"/>
        </w:rPr>
        <w:t xml:space="preserve">Convenience yield: </w:t>
      </w:r>
      <w:r w:rsidRPr="004F24B1">
        <w:rPr>
          <w:rFonts w:ascii="Verdana Pro Cond" w:hAnsi="Verdana Pro Cond"/>
          <w:sz w:val="22"/>
          <w:szCs w:val="22"/>
        </w:rPr>
        <w:t>Vessel</w:t>
      </w:r>
      <w:r>
        <w:rPr>
          <w:rFonts w:ascii="Verdana Pro Cond" w:hAnsi="Verdana Pro Cond"/>
          <w:sz w:val="22"/>
          <w:szCs w:val="22"/>
        </w:rPr>
        <w:t xml:space="preserve"> specific features like age, speed, size and consumption are highly significant and have their expected signs in the table. </w:t>
      </w:r>
      <w:r w:rsidR="00A34E34">
        <w:rPr>
          <w:rFonts w:ascii="Verdana Pro Cond" w:hAnsi="Verdana Pro Cond"/>
          <w:sz w:val="22"/>
          <w:szCs w:val="22"/>
        </w:rPr>
        <w:t xml:space="preserve">Younger and larger ships get to charge a premium while older and smaller ships </w:t>
      </w:r>
      <w:proofErr w:type="gramStart"/>
      <w:r w:rsidR="00A34E34">
        <w:rPr>
          <w:rFonts w:ascii="Verdana Pro Cond" w:hAnsi="Verdana Pro Cond"/>
          <w:sz w:val="22"/>
          <w:szCs w:val="22"/>
        </w:rPr>
        <w:t>have to</w:t>
      </w:r>
      <w:proofErr w:type="gramEnd"/>
      <w:r w:rsidR="00A34E34">
        <w:rPr>
          <w:rFonts w:ascii="Verdana Pro Cond" w:hAnsi="Verdana Pro Cond"/>
          <w:sz w:val="22"/>
          <w:szCs w:val="22"/>
        </w:rPr>
        <w:t xml:space="preserve"> give a discount. The coefficients of contract terms also follow expected signs (</w:t>
      </w:r>
      <w:r w:rsidR="00A34E34" w:rsidRPr="00A34E34">
        <w:rPr>
          <w:rFonts w:ascii="Verdana Pro Cond" w:hAnsi="Verdana Pro Cond"/>
          <w:sz w:val="22"/>
          <w:szCs w:val="22"/>
        </w:rPr>
        <w:t>negative impact of delivery location in the Pacific and Indian Oceans on the TC rate</w:t>
      </w:r>
      <w:r w:rsidR="00A34E34">
        <w:rPr>
          <w:rFonts w:ascii="Verdana Pro Cond" w:hAnsi="Verdana Pro Cond"/>
          <w:sz w:val="22"/>
          <w:szCs w:val="22"/>
        </w:rPr>
        <w:t>).</w:t>
      </w:r>
    </w:p>
    <w:p w14:paraId="029A3395" w14:textId="1B93B127" w:rsidR="009907B1" w:rsidRPr="009907B1" w:rsidRDefault="004F24B1" w:rsidP="009907B1">
      <w:pPr>
        <w:rPr>
          <w:rFonts w:ascii="Verdana Pro Cond" w:hAnsi="Verdana Pro Cond"/>
        </w:rPr>
      </w:pPr>
      <w:r>
        <w:rPr>
          <w:rFonts w:ascii="Verdana Pro Cond" w:hAnsi="Verdana Pro Cond"/>
          <w:b/>
          <w:bCs/>
          <w:sz w:val="22"/>
          <w:szCs w:val="22"/>
        </w:rPr>
        <w:t xml:space="preserve">Risk Premium: </w:t>
      </w:r>
      <w:r w:rsidR="00A34E34">
        <w:rPr>
          <w:rFonts w:ascii="Verdana Pro Cond" w:hAnsi="Verdana Pro Cond"/>
          <w:sz w:val="22"/>
          <w:szCs w:val="22"/>
        </w:rPr>
        <w:t>The coefficient of market default probability (DEF)</w:t>
      </w:r>
      <w:r w:rsidR="00A34E34">
        <w:rPr>
          <w:rFonts w:ascii="Verdana Pro Cond" w:hAnsi="Verdana Pro Cond"/>
          <w:sz w:val="22"/>
          <w:szCs w:val="22"/>
        </w:rPr>
        <w:t xml:space="preserve"> is significant only in the case of Capsize model. I</w:t>
      </w:r>
      <w:r w:rsidR="00A34E34" w:rsidRPr="00A34E34">
        <w:rPr>
          <w:rFonts w:ascii="Verdana Pro Cond" w:hAnsi="Verdana Pro Cond"/>
          <w:sz w:val="22"/>
          <w:szCs w:val="22"/>
        </w:rPr>
        <w:t xml:space="preserve">t is insignificant in both Panamax and </w:t>
      </w:r>
      <w:proofErr w:type="spellStart"/>
      <w:r w:rsidR="00A34E34" w:rsidRPr="00A34E34">
        <w:rPr>
          <w:rFonts w:ascii="Verdana Pro Cond" w:hAnsi="Verdana Pro Cond"/>
          <w:sz w:val="22"/>
          <w:szCs w:val="22"/>
        </w:rPr>
        <w:t>Supramax</w:t>
      </w:r>
      <w:proofErr w:type="spellEnd"/>
      <w:r w:rsidR="00A34E34" w:rsidRPr="00A34E34">
        <w:rPr>
          <w:rFonts w:ascii="Verdana Pro Cond" w:hAnsi="Verdana Pro Cond"/>
          <w:sz w:val="22"/>
          <w:szCs w:val="22"/>
        </w:rPr>
        <w:t xml:space="preserve"> models.</w:t>
      </w:r>
      <w:r w:rsidR="00A34E34">
        <w:rPr>
          <w:rFonts w:ascii="Verdana Pro Cond" w:hAnsi="Verdana Pro Cond"/>
          <w:sz w:val="22"/>
          <w:szCs w:val="22"/>
        </w:rPr>
        <w:t xml:space="preserve"> Therefore,</w:t>
      </w:r>
      <w:r w:rsidR="00A34E34" w:rsidRPr="00A34E34">
        <w:rPr>
          <w:rFonts w:ascii="Verdana Pro Cond" w:hAnsi="Verdana Pro Cond"/>
          <w:sz w:val="22"/>
          <w:szCs w:val="22"/>
        </w:rPr>
        <w:t xml:space="preserve"> the risk premium due to default risk is more pronounced in the </w:t>
      </w:r>
      <w:proofErr w:type="spellStart"/>
      <w:r w:rsidR="00A34E34" w:rsidRPr="00A34E34">
        <w:rPr>
          <w:rFonts w:ascii="Verdana Pro Cond" w:hAnsi="Verdana Pro Cond"/>
          <w:sz w:val="22"/>
          <w:szCs w:val="22"/>
        </w:rPr>
        <w:t>Capesize</w:t>
      </w:r>
      <w:proofErr w:type="spellEnd"/>
      <w:r w:rsidR="00A34E34" w:rsidRPr="00A34E34">
        <w:rPr>
          <w:rFonts w:ascii="Verdana Pro Cond" w:hAnsi="Verdana Pro Cond"/>
          <w:sz w:val="22"/>
          <w:szCs w:val="22"/>
        </w:rPr>
        <w:t xml:space="preserve"> segment</w:t>
      </w:r>
      <w:r w:rsidR="00A34E34">
        <w:rPr>
          <w:rFonts w:ascii="Verdana Pro Cond" w:hAnsi="Verdana Pro Cond"/>
          <w:sz w:val="22"/>
          <w:szCs w:val="22"/>
        </w:rPr>
        <w:t xml:space="preserve"> and lower in other vessel segments.</w:t>
      </w:r>
      <w:r w:rsidR="008D5AE1">
        <w:rPr>
          <w:rFonts w:ascii="Verdana Pro Cond" w:hAnsi="Verdana Pro Cond"/>
        </w:rPr>
        <w:br w:type="page"/>
      </w:r>
    </w:p>
    <w:p w14:paraId="752266BC" w14:textId="53647C03" w:rsidR="009907B1" w:rsidRPr="009907B1" w:rsidRDefault="009907B1" w:rsidP="009907B1">
      <w:pPr>
        <w:pStyle w:val="Heading1"/>
        <w:rPr>
          <w:rFonts w:ascii="Verdana Pro Cond" w:hAnsi="Verdana Pro Cond"/>
        </w:rPr>
      </w:pPr>
      <w:r w:rsidRPr="009907B1">
        <w:rPr>
          <w:rFonts w:ascii="Verdana Pro Cond" w:hAnsi="Verdana Pro Cond"/>
        </w:rPr>
        <w:lastRenderedPageBreak/>
        <w:t xml:space="preserve">Question </w:t>
      </w:r>
      <w:r w:rsidRPr="009907B1">
        <w:rPr>
          <w:rFonts w:ascii="Verdana Pro Cond" w:hAnsi="Verdana Pro Cond"/>
        </w:rPr>
        <w:t>5</w:t>
      </w:r>
      <w:r w:rsidRPr="009907B1">
        <w:rPr>
          <w:rFonts w:ascii="Verdana Pro Cond" w:hAnsi="Verdana Pro Cond"/>
        </w:rPr>
        <w:t>:</w:t>
      </w:r>
    </w:p>
    <w:p w14:paraId="6F17AB1F" w14:textId="77777777" w:rsidR="00DB25EA" w:rsidRDefault="00185E7B" w:rsidP="009907B1">
      <w:pPr>
        <w:rPr>
          <w:rFonts w:ascii="Verdana Pro Cond" w:hAnsi="Verdana Pro Cond"/>
          <w:sz w:val="22"/>
          <w:szCs w:val="22"/>
        </w:rPr>
      </w:pPr>
      <w:r w:rsidRPr="00DB25EA">
        <w:rPr>
          <w:rFonts w:ascii="Verdana Pro Cond" w:hAnsi="Verdana Pro Cond"/>
          <w:sz w:val="22"/>
          <w:szCs w:val="22"/>
        </w:rPr>
        <w:t xml:space="preserve">The paper mentions a hedging strategy involving TC-FFA differentials. </w:t>
      </w:r>
      <w:r w:rsidRPr="00DB25EA">
        <w:rPr>
          <w:rFonts w:ascii="Verdana Pro Cond" w:hAnsi="Verdana Pro Cond"/>
          <w:sz w:val="22"/>
          <w:szCs w:val="22"/>
        </w:rPr>
        <w:t>If the TC-FFA differential is positive</w:t>
      </w:r>
      <w:r w:rsidRPr="00DB25EA">
        <w:rPr>
          <w:rFonts w:ascii="Verdana Pro Cond" w:hAnsi="Verdana Pro Cond"/>
          <w:sz w:val="22"/>
          <w:szCs w:val="22"/>
        </w:rPr>
        <w:t xml:space="preserve">, the operator can charter in a vessel in an index-linked TC, charter it out to a fixed rate TC and simultaneously buy FFA for the equivalent duration. </w:t>
      </w:r>
      <w:r w:rsidR="00DB25EA" w:rsidRPr="00DB25EA">
        <w:rPr>
          <w:rFonts w:ascii="Verdana Pro Cond" w:hAnsi="Verdana Pro Cond"/>
          <w:sz w:val="22"/>
          <w:szCs w:val="22"/>
        </w:rPr>
        <w:t xml:space="preserve">This will result in two index-linked cash flows to cancel out, leaving the TC-FFA price differential as profit. If the TC-FFA differential is negative, we can simply reverse this setup. The operator sells an FFA, charters in a fixed rate TC while subletting on a spot index-linked TC with the same duration. The profit is </w:t>
      </w:r>
      <w:r w:rsidR="00DB25EA" w:rsidRPr="00DB25EA">
        <w:rPr>
          <w:rFonts w:ascii="Verdana Pro Cond" w:hAnsi="Verdana Pro Cond"/>
          <w:sz w:val="22"/>
          <w:szCs w:val="22"/>
        </w:rPr>
        <w:t>the sum of the absolute value of all daily TC-FFA differentials</w:t>
      </w:r>
      <w:r w:rsidR="00DB25EA">
        <w:rPr>
          <w:rFonts w:ascii="Verdana Pro Cond" w:hAnsi="Verdana Pro Cond"/>
          <w:sz w:val="22"/>
          <w:szCs w:val="22"/>
        </w:rPr>
        <w:t>.</w:t>
      </w:r>
    </w:p>
    <w:p w14:paraId="28375D1A" w14:textId="03600BE9" w:rsidR="00DB25EA" w:rsidRDefault="00DB25EA" w:rsidP="00D85167">
      <w:pPr>
        <w:rPr>
          <w:rFonts w:ascii="Verdana Pro Cond" w:hAnsi="Verdana Pro Cond"/>
        </w:rPr>
      </w:pPr>
      <w:r>
        <w:rPr>
          <w:rFonts w:ascii="Verdana Pro Cond" w:hAnsi="Verdana Pro Cond"/>
          <w:sz w:val="22"/>
          <w:szCs w:val="22"/>
        </w:rPr>
        <w:t xml:space="preserve">Table 7 contains estimated coefficients </w:t>
      </w:r>
      <w:r w:rsidR="007975FE">
        <w:rPr>
          <w:rFonts w:ascii="Verdana Pro Cond" w:hAnsi="Verdana Pro Cond"/>
          <w:sz w:val="22"/>
          <w:szCs w:val="22"/>
        </w:rPr>
        <w:t xml:space="preserve">for the valuation of TC rates </w:t>
      </w:r>
      <w:r w:rsidR="00D85167" w:rsidRPr="00D85167">
        <w:rPr>
          <w:rFonts w:ascii="Verdana Pro Cond" w:hAnsi="Verdana Pro Cond"/>
          <w:sz w:val="22"/>
          <w:szCs w:val="22"/>
        </w:rPr>
        <w:t>based on vessel and contract-specific factors, as well as the FFA curve.</w:t>
      </w:r>
      <w:r w:rsidR="00D85167">
        <w:rPr>
          <w:rFonts w:ascii="Verdana Pro Cond" w:hAnsi="Verdana Pro Cond"/>
          <w:sz w:val="22"/>
          <w:szCs w:val="22"/>
        </w:rPr>
        <w:t xml:space="preserve"> We can use them to optimize our hedging strategy. </w:t>
      </w:r>
      <w:r w:rsidR="00D85167" w:rsidRPr="00D85167">
        <w:rPr>
          <w:rFonts w:ascii="Verdana Pro Cond" w:hAnsi="Verdana Pro Cond"/>
          <w:sz w:val="22"/>
          <w:szCs w:val="22"/>
        </w:rPr>
        <w:t>The table shows that every additional unit of DWT increases the TC-FFA differential.</w:t>
      </w:r>
      <w:r w:rsidR="00D85167" w:rsidRPr="00D85167">
        <w:rPr>
          <w:rFonts w:ascii="Verdana Pro Cond" w:hAnsi="Verdana Pro Cond"/>
          <w:sz w:val="22"/>
          <w:szCs w:val="22"/>
        </w:rPr>
        <w:t xml:space="preserve"> </w:t>
      </w:r>
      <w:r w:rsidR="00461827">
        <w:rPr>
          <w:rFonts w:ascii="Verdana Pro Cond" w:hAnsi="Verdana Pro Cond"/>
          <w:sz w:val="22"/>
          <w:szCs w:val="22"/>
        </w:rPr>
        <w:t>H</w:t>
      </w:r>
      <w:r w:rsidR="00D85167" w:rsidRPr="00D85167">
        <w:rPr>
          <w:rFonts w:ascii="Verdana Pro Cond" w:hAnsi="Verdana Pro Cond"/>
          <w:sz w:val="22"/>
          <w:szCs w:val="22"/>
        </w:rPr>
        <w:t>igh speed</w:t>
      </w:r>
      <w:r w:rsidR="00461827">
        <w:rPr>
          <w:rFonts w:ascii="Verdana Pro Cond" w:hAnsi="Verdana Pro Cond"/>
          <w:sz w:val="22"/>
          <w:szCs w:val="22"/>
        </w:rPr>
        <w:t xml:space="preserve"> vessels</w:t>
      </w:r>
      <w:r w:rsidR="00D85167" w:rsidRPr="00D85167">
        <w:rPr>
          <w:rFonts w:ascii="Verdana Pro Cond" w:hAnsi="Verdana Pro Cond"/>
          <w:sz w:val="22"/>
          <w:szCs w:val="22"/>
        </w:rPr>
        <w:t xml:space="preserve"> and </w:t>
      </w:r>
      <w:r w:rsidR="00461827">
        <w:rPr>
          <w:rFonts w:ascii="Verdana Pro Cond" w:hAnsi="Verdana Pro Cond"/>
          <w:sz w:val="22"/>
          <w:szCs w:val="22"/>
        </w:rPr>
        <w:t xml:space="preserve">those </w:t>
      </w:r>
      <w:r w:rsidR="00D85167" w:rsidRPr="00D85167">
        <w:rPr>
          <w:rFonts w:ascii="Verdana Pro Cond" w:hAnsi="Verdana Pro Cond"/>
          <w:sz w:val="22"/>
          <w:szCs w:val="22"/>
        </w:rPr>
        <w:t>lower fuel consumption</w:t>
      </w:r>
      <w:r w:rsidR="00461827">
        <w:rPr>
          <w:rFonts w:ascii="Verdana Pro Cond" w:hAnsi="Verdana Pro Cond"/>
          <w:sz w:val="22"/>
          <w:szCs w:val="22"/>
        </w:rPr>
        <w:t xml:space="preserve"> also have higher </w:t>
      </w:r>
      <w:r w:rsidR="00461827" w:rsidRPr="00D85167">
        <w:rPr>
          <w:rFonts w:ascii="Verdana Pro Cond" w:hAnsi="Verdana Pro Cond"/>
          <w:sz w:val="22"/>
          <w:szCs w:val="22"/>
        </w:rPr>
        <w:t>TC-FFA differential</w:t>
      </w:r>
      <w:r w:rsidR="00D85167">
        <w:rPr>
          <w:rFonts w:ascii="Verdana Pro Cond" w:hAnsi="Verdana Pro Cond"/>
          <w:sz w:val="22"/>
          <w:szCs w:val="22"/>
        </w:rPr>
        <w:t xml:space="preserve">. </w:t>
      </w:r>
      <w:r w:rsidR="00D85167">
        <w:rPr>
          <w:rFonts w:ascii="Verdana Pro Cond" w:hAnsi="Verdana Pro Cond"/>
          <w:sz w:val="22"/>
          <w:szCs w:val="22"/>
        </w:rPr>
        <w:t xml:space="preserve"> </w:t>
      </w:r>
      <w:r w:rsidR="00461827">
        <w:rPr>
          <w:rFonts w:ascii="Verdana Pro Cond" w:hAnsi="Verdana Pro Cond"/>
          <w:sz w:val="22"/>
          <w:szCs w:val="22"/>
        </w:rPr>
        <w:t>T</w:t>
      </w:r>
      <w:r w:rsidR="00D85167">
        <w:rPr>
          <w:rFonts w:ascii="Verdana Pro Cond" w:hAnsi="Verdana Pro Cond"/>
          <w:sz w:val="22"/>
          <w:szCs w:val="22"/>
        </w:rPr>
        <w:t>herefore,</w:t>
      </w:r>
      <w:r w:rsidR="00461827">
        <w:rPr>
          <w:rFonts w:ascii="Verdana Pro Cond" w:hAnsi="Verdana Pro Cond"/>
          <w:sz w:val="22"/>
          <w:szCs w:val="22"/>
        </w:rPr>
        <w:t xml:space="preserve"> they</w:t>
      </w:r>
      <w:r w:rsidR="00D85167" w:rsidRPr="00D85167">
        <w:rPr>
          <w:rFonts w:ascii="Verdana Pro Cond" w:hAnsi="Verdana Pro Cond"/>
          <w:sz w:val="22"/>
          <w:szCs w:val="22"/>
        </w:rPr>
        <w:t xml:space="preserve"> require a higher FFA position </w:t>
      </w:r>
      <w:r w:rsidR="00D85167">
        <w:rPr>
          <w:rFonts w:ascii="Verdana Pro Cond" w:hAnsi="Verdana Pro Cond"/>
          <w:sz w:val="22"/>
          <w:szCs w:val="22"/>
        </w:rPr>
        <w:t>to avoid under hedging</w:t>
      </w:r>
      <w:r w:rsidR="00D85167" w:rsidRPr="00D85167">
        <w:rPr>
          <w:rFonts w:ascii="Verdana Pro Cond" w:hAnsi="Verdana Pro Cond"/>
          <w:sz w:val="22"/>
          <w:szCs w:val="22"/>
        </w:rPr>
        <w:t>.TC</w:t>
      </w:r>
      <w:r w:rsidR="00461827">
        <w:rPr>
          <w:rFonts w:ascii="Verdana Pro Cond" w:hAnsi="Verdana Pro Cond"/>
          <w:sz w:val="22"/>
          <w:szCs w:val="22"/>
        </w:rPr>
        <w:t xml:space="preserve"> with longer contract</w:t>
      </w:r>
      <w:r w:rsidR="00D85167" w:rsidRPr="00D85167">
        <w:rPr>
          <w:rFonts w:ascii="Verdana Pro Cond" w:hAnsi="Verdana Pro Cond"/>
          <w:sz w:val="22"/>
          <w:szCs w:val="22"/>
        </w:rPr>
        <w:t xml:space="preserve"> periods and more forward days reduce the TC-FFA differential.</w:t>
      </w:r>
      <w:r w:rsidR="00D85167">
        <w:rPr>
          <w:rFonts w:ascii="Verdana Pro Cond" w:hAnsi="Verdana Pro Cond"/>
          <w:sz w:val="22"/>
          <w:szCs w:val="22"/>
        </w:rPr>
        <w:t xml:space="preserve"> </w:t>
      </w:r>
      <w:r w:rsidR="00D85167" w:rsidRPr="00D85167">
        <w:rPr>
          <w:rFonts w:ascii="Verdana Pro Cond" w:hAnsi="Verdana Pro Cond"/>
          <w:sz w:val="22"/>
          <w:szCs w:val="22"/>
        </w:rPr>
        <w:t>Vessels delivered in the Pacific or Indian Oceans typically earn less than those delivered in the Atlantic</w:t>
      </w:r>
      <w:r w:rsidR="00461827">
        <w:rPr>
          <w:rFonts w:ascii="Verdana Pro Cond" w:hAnsi="Verdana Pro Cond"/>
          <w:sz w:val="22"/>
          <w:szCs w:val="22"/>
        </w:rPr>
        <w:t>.</w:t>
      </w:r>
      <w:r w:rsidR="00D85167">
        <w:rPr>
          <w:rFonts w:ascii="Verdana Pro Cond" w:hAnsi="Verdana Pro Cond"/>
          <w:sz w:val="22"/>
          <w:szCs w:val="22"/>
        </w:rPr>
        <w:t xml:space="preserve"> FFA positions should be reduced</w:t>
      </w:r>
      <w:r w:rsidR="00461827">
        <w:rPr>
          <w:rFonts w:ascii="Verdana Pro Cond" w:hAnsi="Verdana Pro Cond"/>
          <w:sz w:val="22"/>
          <w:szCs w:val="22"/>
        </w:rPr>
        <w:t xml:space="preserve"> in these cases</w:t>
      </w:r>
      <w:r w:rsidR="00D85167">
        <w:rPr>
          <w:rFonts w:ascii="Verdana Pro Cond" w:hAnsi="Verdana Pro Cond"/>
          <w:sz w:val="22"/>
          <w:szCs w:val="22"/>
        </w:rPr>
        <w:t xml:space="preserve"> to avoid over hedging. </w:t>
      </w:r>
      <w:r w:rsidR="00D85167" w:rsidRPr="00D85167">
        <w:rPr>
          <w:rFonts w:ascii="Verdana Pro Cond" w:hAnsi="Verdana Pro Cond"/>
          <w:sz w:val="22"/>
          <w:szCs w:val="22"/>
        </w:rPr>
        <w:t xml:space="preserve">An increase in default probability (DEF) adds to the TC-FFA differential, particularly for larger vessels like </w:t>
      </w:r>
      <w:proofErr w:type="spellStart"/>
      <w:r w:rsidR="00D85167" w:rsidRPr="00D85167">
        <w:rPr>
          <w:rFonts w:ascii="Verdana Pro Cond" w:hAnsi="Verdana Pro Cond"/>
          <w:sz w:val="22"/>
          <w:szCs w:val="22"/>
        </w:rPr>
        <w:t>Capesize</w:t>
      </w:r>
      <w:proofErr w:type="spellEnd"/>
      <w:r w:rsidR="00461827">
        <w:rPr>
          <w:rFonts w:ascii="Verdana Pro Cond" w:hAnsi="Verdana Pro Cond"/>
          <w:sz w:val="22"/>
          <w:szCs w:val="22"/>
        </w:rPr>
        <w:t xml:space="preserve"> so</w:t>
      </w:r>
      <w:r w:rsidR="00D85167">
        <w:rPr>
          <w:rFonts w:ascii="Verdana Pro Cond" w:hAnsi="Verdana Pro Cond"/>
          <w:sz w:val="22"/>
          <w:szCs w:val="22"/>
        </w:rPr>
        <w:t xml:space="preserve"> FFA positions should be increased to cover additional risk.</w:t>
      </w:r>
    </w:p>
    <w:p w14:paraId="3A153127" w14:textId="760E9357" w:rsidR="00185E7B" w:rsidRPr="009907B1" w:rsidRDefault="00185E7B" w:rsidP="009907B1">
      <w:pPr>
        <w:rPr>
          <w:rFonts w:ascii="Verdana Pro Cond" w:hAnsi="Verdana Pro Cond"/>
        </w:rPr>
      </w:pPr>
      <w:r>
        <w:rPr>
          <w:rFonts w:ascii="Verdana Pro Cond" w:hAnsi="Verdana Pro Cond"/>
        </w:rPr>
        <w:t xml:space="preserve">  </w:t>
      </w:r>
    </w:p>
    <w:p w14:paraId="67FF1991" w14:textId="4084B069" w:rsidR="009907B1" w:rsidRPr="009907B1" w:rsidRDefault="009907B1">
      <w:pPr>
        <w:rPr>
          <w:rFonts w:ascii="Verdana Pro Cond" w:hAnsi="Verdana Pro Cond"/>
        </w:rPr>
      </w:pPr>
      <w:r w:rsidRPr="009907B1">
        <w:rPr>
          <w:rFonts w:ascii="Verdana Pro Cond" w:hAnsi="Verdana Pro Cond"/>
        </w:rPr>
        <w:br w:type="page"/>
      </w:r>
    </w:p>
    <w:p w14:paraId="3D7072BA" w14:textId="1CC755D8" w:rsidR="009907B1" w:rsidRPr="009907B1" w:rsidRDefault="009907B1" w:rsidP="009907B1">
      <w:pPr>
        <w:pStyle w:val="Title"/>
      </w:pPr>
      <w:r w:rsidRPr="009907B1">
        <w:lastRenderedPageBreak/>
        <w:t>Paper 2</w:t>
      </w:r>
    </w:p>
    <w:p w14:paraId="58CBFA69" w14:textId="01410B4E" w:rsidR="009907B1" w:rsidRPr="009907B1" w:rsidRDefault="009907B1" w:rsidP="009907B1">
      <w:pPr>
        <w:pStyle w:val="Heading1"/>
        <w:rPr>
          <w:rFonts w:ascii="Verdana Pro Cond" w:hAnsi="Verdana Pro Cond"/>
        </w:rPr>
      </w:pPr>
      <w:r w:rsidRPr="009907B1">
        <w:rPr>
          <w:rFonts w:ascii="Verdana Pro Cond" w:hAnsi="Verdana Pro Cond"/>
        </w:rPr>
        <w:t>Question 1:</w:t>
      </w:r>
    </w:p>
    <w:p w14:paraId="68A2C3CB" w14:textId="72CAD9DA" w:rsidR="007A44BA" w:rsidRDefault="003750A9">
      <w:pPr>
        <w:rPr>
          <w:rFonts w:ascii="Verdana Pro Cond" w:hAnsi="Verdana Pro Cond"/>
          <w:sz w:val="22"/>
          <w:szCs w:val="22"/>
        </w:rPr>
      </w:pPr>
      <w:r w:rsidRPr="003750A9">
        <w:rPr>
          <w:rFonts w:ascii="Verdana Pro Cond" w:hAnsi="Verdana Pro Cond"/>
          <w:sz w:val="22"/>
          <w:szCs w:val="22"/>
        </w:rPr>
        <w:t>The phrase "Bermuda Triangle" has been used metaphorically by the author.</w:t>
      </w:r>
      <w:r>
        <w:rPr>
          <w:rFonts w:ascii="Verdana Pro Cond" w:hAnsi="Verdana Pro Cond"/>
          <w:sz w:val="22"/>
          <w:szCs w:val="22"/>
        </w:rPr>
        <w:t xml:space="preserve"> It</w:t>
      </w:r>
      <w:r w:rsidR="007A44BA" w:rsidRPr="007A44BA">
        <w:rPr>
          <w:rFonts w:ascii="Verdana Pro Cond" w:hAnsi="Verdana Pro Cond"/>
          <w:sz w:val="22"/>
          <w:szCs w:val="22"/>
        </w:rPr>
        <w:t xml:space="preserve"> is</w:t>
      </w:r>
      <w:r>
        <w:rPr>
          <w:rFonts w:ascii="Verdana Pro Cond" w:hAnsi="Verdana Pro Cond"/>
          <w:sz w:val="22"/>
          <w:szCs w:val="22"/>
        </w:rPr>
        <w:t xml:space="preserve"> a</w:t>
      </w:r>
      <w:r w:rsidR="007A44BA" w:rsidRPr="007A44BA">
        <w:rPr>
          <w:rFonts w:ascii="Verdana Pro Cond" w:hAnsi="Verdana Pro Cond"/>
          <w:sz w:val="22"/>
          <w:szCs w:val="22"/>
        </w:rPr>
        <w:t xml:space="preserve"> region in the western part of the North Atlantic Ocean where</w:t>
      </w:r>
      <w:r w:rsidR="007A44BA">
        <w:rPr>
          <w:rFonts w:ascii="Verdana Pro Cond" w:hAnsi="Verdana Pro Cond"/>
          <w:sz w:val="22"/>
          <w:szCs w:val="22"/>
        </w:rPr>
        <w:t xml:space="preserve"> ships and aircrafts have disappeared</w:t>
      </w:r>
      <w:r w:rsidR="007A44BA" w:rsidRPr="007A44BA">
        <w:rPr>
          <w:rFonts w:ascii="Verdana Pro Cond" w:hAnsi="Verdana Pro Cond"/>
          <w:sz w:val="22"/>
          <w:szCs w:val="22"/>
        </w:rPr>
        <w:t xml:space="preserve"> under mysterious circumstances.</w:t>
      </w:r>
      <w:r w:rsidR="007A44BA">
        <w:rPr>
          <w:rFonts w:ascii="Verdana Pro Cond" w:hAnsi="Verdana Pro Cond"/>
          <w:sz w:val="22"/>
          <w:szCs w:val="22"/>
        </w:rPr>
        <w:t xml:space="preserve"> It is said to </w:t>
      </w:r>
      <w:r>
        <w:rPr>
          <w:rFonts w:ascii="Verdana Pro Cond" w:hAnsi="Verdana Pro Cond"/>
          <w:sz w:val="22"/>
          <w:szCs w:val="22"/>
        </w:rPr>
        <w:t xml:space="preserve">be </w:t>
      </w:r>
      <w:r w:rsidR="007A44BA">
        <w:rPr>
          <w:rFonts w:ascii="Verdana Pro Cond" w:hAnsi="Verdana Pro Cond"/>
          <w:sz w:val="22"/>
          <w:szCs w:val="22"/>
        </w:rPr>
        <w:t xml:space="preserve">an area that is difficult to traverse. The author compares it to the interconnected and complex relationship between the weather, electricity and insurance derivatives. The </w:t>
      </w:r>
      <w:r w:rsidR="00BE506F">
        <w:rPr>
          <w:rFonts w:ascii="Verdana Pro Cond" w:hAnsi="Verdana Pro Cond"/>
          <w:sz w:val="22"/>
          <w:szCs w:val="22"/>
        </w:rPr>
        <w:t>trisection</w:t>
      </w:r>
      <w:r w:rsidR="007A44BA">
        <w:rPr>
          <w:rFonts w:ascii="Verdana Pro Cond" w:hAnsi="Verdana Pro Cond"/>
          <w:sz w:val="22"/>
          <w:szCs w:val="22"/>
        </w:rPr>
        <w:t xml:space="preserve"> of these three markets presents unique challenges which are difficult to traverse. </w:t>
      </w:r>
    </w:p>
    <w:p w14:paraId="77A78CC3" w14:textId="038188B5" w:rsidR="00BE506F" w:rsidRDefault="00BE506F">
      <w:pPr>
        <w:rPr>
          <w:rFonts w:ascii="Verdana Pro Cond" w:hAnsi="Verdana Pro Cond"/>
          <w:sz w:val="22"/>
          <w:szCs w:val="22"/>
        </w:rPr>
      </w:pPr>
      <w:r>
        <w:rPr>
          <w:rFonts w:ascii="Verdana Pro Cond" w:hAnsi="Verdana Pro Cond"/>
          <w:sz w:val="22"/>
          <w:szCs w:val="22"/>
        </w:rPr>
        <w:t>Weather conditions have been a cause for variability in revenue for utilities (like electricity) for a l</w:t>
      </w:r>
      <w:r w:rsidR="00F64DA8">
        <w:rPr>
          <w:rFonts w:ascii="Verdana Pro Cond" w:hAnsi="Verdana Pro Cond"/>
          <w:sz w:val="22"/>
          <w:szCs w:val="22"/>
        </w:rPr>
        <w:t>o</w:t>
      </w:r>
      <w:r>
        <w:rPr>
          <w:rFonts w:ascii="Verdana Pro Cond" w:hAnsi="Verdana Pro Cond"/>
          <w:sz w:val="22"/>
          <w:szCs w:val="22"/>
        </w:rPr>
        <w:t>ng time. This led to volatility in electricity prices, which in turn affected the risk management strategies of power marketers and producers. Simultaneously, insurance companies are heavily exposed to weather related risk</w:t>
      </w:r>
      <w:r w:rsidR="00F64DA8">
        <w:rPr>
          <w:rFonts w:ascii="Verdana Pro Cond" w:hAnsi="Verdana Pro Cond"/>
          <w:sz w:val="22"/>
          <w:szCs w:val="22"/>
        </w:rPr>
        <w:t>, like hurricanes, tsunami, earthquakes. This leads to significant financial losses.</w:t>
      </w:r>
      <w:r>
        <w:rPr>
          <w:rFonts w:ascii="Verdana Pro Cond" w:hAnsi="Verdana Pro Cond"/>
          <w:sz w:val="22"/>
          <w:szCs w:val="22"/>
        </w:rPr>
        <w:t xml:space="preserve">  </w:t>
      </w:r>
    </w:p>
    <w:p w14:paraId="25A48BCF" w14:textId="588AA23C" w:rsidR="008D5AE1" w:rsidRPr="00F64DA8" w:rsidRDefault="00F64DA8">
      <w:pPr>
        <w:rPr>
          <w:rFonts w:ascii="Verdana Pro Cond" w:hAnsi="Verdana Pro Cond"/>
          <w:sz w:val="22"/>
          <w:szCs w:val="22"/>
        </w:rPr>
      </w:pPr>
      <w:r w:rsidRPr="00F64DA8">
        <w:rPr>
          <w:rFonts w:ascii="Verdana Pro Cond" w:hAnsi="Verdana Pro Cond"/>
          <w:sz w:val="22"/>
          <w:szCs w:val="22"/>
        </w:rPr>
        <w:t>T</w:t>
      </w:r>
      <w:r w:rsidRPr="00F64DA8">
        <w:rPr>
          <w:rFonts w:ascii="Verdana Pro Cond" w:hAnsi="Verdana Pro Cond"/>
          <w:sz w:val="22"/>
          <w:szCs w:val="22"/>
        </w:rPr>
        <w:t>he convergence of these factors creates a complex and interdependent environment where the pricing and hedging of derivatives become critical. The author highlights this intricate relationship to emphasize the need for innovative financial instruments, like weather derivatives, to manage the risks</w:t>
      </w:r>
      <w:r w:rsidR="003750A9">
        <w:rPr>
          <w:rFonts w:ascii="Verdana Pro Cond" w:hAnsi="Verdana Pro Cond"/>
          <w:sz w:val="22"/>
          <w:szCs w:val="22"/>
        </w:rPr>
        <w:t>.</w:t>
      </w:r>
      <w:r>
        <w:rPr>
          <w:rFonts w:ascii="Verdana Pro Cond" w:hAnsi="Verdana Pro Cond"/>
          <w:sz w:val="22"/>
          <w:szCs w:val="22"/>
        </w:rPr>
        <w:t xml:space="preserve"> </w:t>
      </w:r>
      <w:r w:rsidR="003750A9">
        <w:rPr>
          <w:rFonts w:ascii="Verdana Pro Cond" w:hAnsi="Verdana Pro Cond"/>
          <w:sz w:val="22"/>
          <w:szCs w:val="22"/>
        </w:rPr>
        <w:t xml:space="preserve">Economic actors whose revenue could be hurt by extreme weather conditions </w:t>
      </w:r>
      <w:r w:rsidR="003750A9" w:rsidRPr="003750A9">
        <w:rPr>
          <w:rFonts w:ascii="Verdana Pro Cond" w:hAnsi="Verdana Pro Cond"/>
          <w:sz w:val="22"/>
          <w:szCs w:val="22"/>
        </w:rPr>
        <w:t xml:space="preserve">will hedge their risk by buying </w:t>
      </w:r>
      <w:r w:rsidR="003750A9">
        <w:rPr>
          <w:rFonts w:ascii="Verdana Pro Cond" w:hAnsi="Verdana Pro Cond"/>
          <w:sz w:val="22"/>
          <w:szCs w:val="22"/>
        </w:rPr>
        <w:t xml:space="preserve">weather derivatives. However, the complexity lies in the analysis of how much to buy so one is neither over hedging, nor under hedging. Thus, they must carefully navigate </w:t>
      </w:r>
      <w:r w:rsidR="003750A9" w:rsidRPr="00F64DA8">
        <w:rPr>
          <w:rFonts w:ascii="Verdana Pro Cond" w:hAnsi="Verdana Pro Cond"/>
          <w:sz w:val="22"/>
          <w:szCs w:val="22"/>
        </w:rPr>
        <w:t>in this “Bermuda Triangle” of interconnected markets.</w:t>
      </w:r>
      <w:r w:rsidR="008D5AE1">
        <w:rPr>
          <w:rFonts w:ascii="Verdana Pro Cond" w:hAnsi="Verdana Pro Cond"/>
        </w:rPr>
        <w:br w:type="page"/>
      </w:r>
    </w:p>
    <w:p w14:paraId="48B3CE2F" w14:textId="3840B676" w:rsidR="009907B1" w:rsidRPr="009907B1" w:rsidRDefault="009907B1" w:rsidP="009907B1">
      <w:pPr>
        <w:pStyle w:val="Heading1"/>
        <w:rPr>
          <w:rFonts w:ascii="Verdana Pro Cond" w:hAnsi="Verdana Pro Cond"/>
        </w:rPr>
      </w:pPr>
      <w:r w:rsidRPr="009907B1">
        <w:rPr>
          <w:rFonts w:ascii="Verdana Pro Cond" w:hAnsi="Verdana Pro Cond"/>
        </w:rPr>
        <w:lastRenderedPageBreak/>
        <w:t>Question 2:</w:t>
      </w:r>
    </w:p>
    <w:p w14:paraId="065161C0" w14:textId="77777777" w:rsidR="0077412B" w:rsidRDefault="0077412B" w:rsidP="0077412B">
      <w:pPr>
        <w:rPr>
          <w:rFonts w:ascii="Verdana Pro Cond" w:hAnsi="Verdana Pro Cond"/>
          <w:sz w:val="22"/>
          <w:szCs w:val="22"/>
        </w:rPr>
      </w:pPr>
      <w:r>
        <w:rPr>
          <w:rFonts w:ascii="Verdana Pro Cond" w:hAnsi="Verdana Pro Cond"/>
          <w:sz w:val="22"/>
          <w:szCs w:val="22"/>
        </w:rPr>
        <w:t xml:space="preserve">The author states that </w:t>
      </w:r>
      <w:r w:rsidRPr="0077412B">
        <w:rPr>
          <w:rFonts w:ascii="Verdana Pro Cond" w:hAnsi="Verdana Pro Cond"/>
          <w:sz w:val="22"/>
          <w:szCs w:val="22"/>
        </w:rPr>
        <w:t>power marketers, power producers, and insurance/reinsurance companies are closely monitoring the growth of the weather derivatives market in the U.S</w:t>
      </w:r>
      <w:r>
        <w:rPr>
          <w:rFonts w:ascii="Verdana Pro Cond" w:hAnsi="Verdana Pro Cond"/>
          <w:sz w:val="22"/>
          <w:szCs w:val="22"/>
        </w:rPr>
        <w:t>.</w:t>
      </w:r>
      <w:r w:rsidRPr="0077412B">
        <w:rPr>
          <w:rFonts w:ascii="Verdana Pro Cond" w:hAnsi="Verdana Pro Cond"/>
          <w:sz w:val="22"/>
          <w:szCs w:val="22"/>
        </w:rPr>
        <w:t xml:space="preserve"> </w:t>
      </w:r>
      <w:r>
        <w:rPr>
          <w:rFonts w:ascii="Verdana Pro Cond" w:hAnsi="Verdana Pro Cond"/>
          <w:sz w:val="22"/>
          <w:szCs w:val="22"/>
        </w:rPr>
        <w:t>These are the major sectors facing</w:t>
      </w:r>
      <w:r w:rsidRPr="0077412B">
        <w:rPr>
          <w:rFonts w:ascii="Verdana Pro Cond" w:hAnsi="Verdana Pro Cond"/>
          <w:sz w:val="22"/>
          <w:szCs w:val="22"/>
        </w:rPr>
        <w:t xml:space="preserve"> direct exposure to weather-related risks.</w:t>
      </w:r>
    </w:p>
    <w:p w14:paraId="1E610E61" w14:textId="0C3C7E77" w:rsidR="0077412B" w:rsidRDefault="0077412B" w:rsidP="0077412B">
      <w:pPr>
        <w:rPr>
          <w:rFonts w:ascii="Verdana Pro Cond" w:hAnsi="Verdana Pro Cond"/>
          <w:sz w:val="22"/>
          <w:szCs w:val="22"/>
        </w:rPr>
      </w:pPr>
      <w:r>
        <w:rPr>
          <w:rFonts w:ascii="Verdana Pro Cond" w:hAnsi="Verdana Pro Cond"/>
          <w:sz w:val="22"/>
          <w:szCs w:val="22"/>
        </w:rPr>
        <w:t>Weather significantly affects demand for energy sources like gas and electricity. This impacts the revenue and operational stability of power marketers and power producers. Extreme weather conditions can lead to unexpected shifts in energy consumption. This results in a volumetric risk, caused due to fluctuations in demand. Traditional financial derivatives</w:t>
      </w:r>
      <w:r w:rsidR="005266B1">
        <w:rPr>
          <w:rFonts w:ascii="Verdana Pro Cond" w:hAnsi="Verdana Pro Cond"/>
          <w:sz w:val="22"/>
          <w:szCs w:val="22"/>
        </w:rPr>
        <w:t xml:space="preserve"> are tied to equity, exchange rates or interest rates. They lack the capability to handle these types of risks. Thus, weather derivatives become an important tool for ensuring smooth cash flow and mitigate risk. Therefore, any development in weather derivatives is closely watched by power marketers and producers.</w:t>
      </w:r>
    </w:p>
    <w:p w14:paraId="53423C41" w14:textId="69DA4127" w:rsidR="005266B1" w:rsidRDefault="005266B1" w:rsidP="0077412B">
      <w:pPr>
        <w:rPr>
          <w:rFonts w:ascii="Verdana Pro Cond" w:hAnsi="Verdana Pro Cond"/>
          <w:sz w:val="22"/>
          <w:szCs w:val="22"/>
        </w:rPr>
      </w:pPr>
      <w:r>
        <w:rPr>
          <w:rFonts w:ascii="Verdana Pro Cond" w:hAnsi="Verdana Pro Cond"/>
          <w:sz w:val="22"/>
          <w:szCs w:val="22"/>
        </w:rPr>
        <w:t xml:space="preserve">Natural disasters like earthquakes, tsunamis and hurricanes lead to large scale claims in insurance/reinsurance companies. This makes it critical for them to hedge against this risk, otherwise they may face large financial losses. Weather derivatives are based on </w:t>
      </w:r>
      <w:r w:rsidRPr="0077412B">
        <w:rPr>
          <w:rFonts w:ascii="Verdana Pro Cond" w:hAnsi="Verdana Pro Cond"/>
          <w:sz w:val="22"/>
          <w:szCs w:val="22"/>
        </w:rPr>
        <w:t>National Weather Service data</w:t>
      </w:r>
      <w:r>
        <w:rPr>
          <w:rFonts w:ascii="Verdana Pro Cond" w:hAnsi="Verdana Pro Cond"/>
          <w:sz w:val="22"/>
          <w:szCs w:val="22"/>
        </w:rPr>
        <w:t xml:space="preserve">. They prove to be a viable solution to manage the impact of extreme weather conditions. Insurance companies can maintain stable finances when faced with these adverse weather conditions if they use weather derivatives as a part of their hedging strategy. Thus, they too watch </w:t>
      </w:r>
      <w:r>
        <w:rPr>
          <w:rFonts w:ascii="Verdana Pro Cond" w:hAnsi="Verdana Pro Cond"/>
          <w:sz w:val="22"/>
          <w:szCs w:val="22"/>
        </w:rPr>
        <w:t>any development in weather derivatives is closely</w:t>
      </w:r>
      <w:r>
        <w:rPr>
          <w:rFonts w:ascii="Verdana Pro Cond" w:hAnsi="Verdana Pro Cond"/>
          <w:sz w:val="22"/>
          <w:szCs w:val="22"/>
        </w:rPr>
        <w:t>.</w:t>
      </w:r>
    </w:p>
    <w:p w14:paraId="0BCEC689" w14:textId="77777777" w:rsidR="009907B1" w:rsidRPr="009907B1" w:rsidRDefault="009907B1" w:rsidP="009907B1">
      <w:pPr>
        <w:rPr>
          <w:rFonts w:ascii="Verdana Pro Cond" w:hAnsi="Verdana Pro Cond"/>
        </w:rPr>
      </w:pPr>
    </w:p>
    <w:sectPr w:rsidR="009907B1" w:rsidRPr="00990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Pro Cond">
    <w:charset w:val="00"/>
    <w:family w:val="swiss"/>
    <w:pitch w:val="variable"/>
    <w:sig w:usb0="80000287" w:usb1="0000004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B83AAE"/>
    <w:multiLevelType w:val="hybridMultilevel"/>
    <w:tmpl w:val="D3A61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7101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08D"/>
    <w:rsid w:val="00185E7B"/>
    <w:rsid w:val="00361015"/>
    <w:rsid w:val="003750A9"/>
    <w:rsid w:val="003D608D"/>
    <w:rsid w:val="00461827"/>
    <w:rsid w:val="004F24B1"/>
    <w:rsid w:val="005266B1"/>
    <w:rsid w:val="00534919"/>
    <w:rsid w:val="00560496"/>
    <w:rsid w:val="006A7425"/>
    <w:rsid w:val="0077412B"/>
    <w:rsid w:val="007975FE"/>
    <w:rsid w:val="007A44BA"/>
    <w:rsid w:val="008744C0"/>
    <w:rsid w:val="008862DE"/>
    <w:rsid w:val="008D5AE1"/>
    <w:rsid w:val="009907B1"/>
    <w:rsid w:val="00A34E34"/>
    <w:rsid w:val="00AE728E"/>
    <w:rsid w:val="00B15298"/>
    <w:rsid w:val="00BA635B"/>
    <w:rsid w:val="00BE506F"/>
    <w:rsid w:val="00CD173E"/>
    <w:rsid w:val="00D12C7E"/>
    <w:rsid w:val="00D85167"/>
    <w:rsid w:val="00DB25EA"/>
    <w:rsid w:val="00E41695"/>
    <w:rsid w:val="00ED2EDC"/>
    <w:rsid w:val="00F64DA8"/>
    <w:rsid w:val="00FD4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7071"/>
  <w15:chartTrackingRefBased/>
  <w15:docId w15:val="{5DC64EA1-CD8C-46B9-B745-188BF261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6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0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0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0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0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0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0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0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6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08D"/>
    <w:rPr>
      <w:rFonts w:eastAsiaTheme="majorEastAsia" w:cstheme="majorBidi"/>
      <w:color w:val="272727" w:themeColor="text1" w:themeTint="D8"/>
    </w:rPr>
  </w:style>
  <w:style w:type="paragraph" w:styleId="Title">
    <w:name w:val="Title"/>
    <w:basedOn w:val="Normal"/>
    <w:next w:val="Normal"/>
    <w:link w:val="TitleChar"/>
    <w:uiPriority w:val="10"/>
    <w:qFormat/>
    <w:rsid w:val="003D608D"/>
    <w:pPr>
      <w:spacing w:after="80" w:line="240" w:lineRule="auto"/>
      <w:contextualSpacing/>
    </w:pPr>
    <w:rPr>
      <w:rFonts w:ascii="Verdana Pro Cond" w:eastAsiaTheme="majorEastAsia" w:hAnsi="Verdana Pro Cond" w:cstheme="majorBidi"/>
      <w:spacing w:val="-10"/>
      <w:kern w:val="28"/>
      <w:sz w:val="56"/>
      <w:szCs w:val="56"/>
    </w:rPr>
  </w:style>
  <w:style w:type="character" w:customStyle="1" w:styleId="TitleChar">
    <w:name w:val="Title Char"/>
    <w:basedOn w:val="DefaultParagraphFont"/>
    <w:link w:val="Title"/>
    <w:uiPriority w:val="10"/>
    <w:rsid w:val="003D608D"/>
    <w:rPr>
      <w:rFonts w:ascii="Verdana Pro Cond" w:eastAsiaTheme="majorEastAsia" w:hAnsi="Verdana Pro Cond" w:cstheme="majorBidi"/>
      <w:spacing w:val="-10"/>
      <w:kern w:val="28"/>
      <w:sz w:val="56"/>
      <w:szCs w:val="56"/>
    </w:rPr>
  </w:style>
  <w:style w:type="paragraph" w:styleId="Subtitle">
    <w:name w:val="Subtitle"/>
    <w:basedOn w:val="Normal"/>
    <w:next w:val="Normal"/>
    <w:link w:val="SubtitleChar"/>
    <w:uiPriority w:val="11"/>
    <w:qFormat/>
    <w:rsid w:val="003D6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08D"/>
    <w:pPr>
      <w:spacing w:before="160"/>
      <w:jc w:val="center"/>
    </w:pPr>
    <w:rPr>
      <w:i/>
      <w:iCs/>
      <w:color w:val="404040" w:themeColor="text1" w:themeTint="BF"/>
    </w:rPr>
  </w:style>
  <w:style w:type="character" w:customStyle="1" w:styleId="QuoteChar">
    <w:name w:val="Quote Char"/>
    <w:basedOn w:val="DefaultParagraphFont"/>
    <w:link w:val="Quote"/>
    <w:uiPriority w:val="29"/>
    <w:rsid w:val="003D608D"/>
    <w:rPr>
      <w:i/>
      <w:iCs/>
      <w:color w:val="404040" w:themeColor="text1" w:themeTint="BF"/>
    </w:rPr>
  </w:style>
  <w:style w:type="paragraph" w:styleId="ListParagraph">
    <w:name w:val="List Paragraph"/>
    <w:basedOn w:val="Normal"/>
    <w:uiPriority w:val="34"/>
    <w:qFormat/>
    <w:rsid w:val="003D608D"/>
    <w:pPr>
      <w:ind w:left="720"/>
      <w:contextualSpacing/>
    </w:pPr>
  </w:style>
  <w:style w:type="character" w:styleId="IntenseEmphasis">
    <w:name w:val="Intense Emphasis"/>
    <w:basedOn w:val="DefaultParagraphFont"/>
    <w:uiPriority w:val="21"/>
    <w:qFormat/>
    <w:rsid w:val="003D608D"/>
    <w:rPr>
      <w:i/>
      <w:iCs/>
      <w:color w:val="0F4761" w:themeColor="accent1" w:themeShade="BF"/>
    </w:rPr>
  </w:style>
  <w:style w:type="paragraph" w:styleId="IntenseQuote">
    <w:name w:val="Intense Quote"/>
    <w:basedOn w:val="Normal"/>
    <w:next w:val="Normal"/>
    <w:link w:val="IntenseQuoteChar"/>
    <w:uiPriority w:val="30"/>
    <w:qFormat/>
    <w:rsid w:val="003D6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08D"/>
    <w:rPr>
      <w:i/>
      <w:iCs/>
      <w:color w:val="0F4761" w:themeColor="accent1" w:themeShade="BF"/>
    </w:rPr>
  </w:style>
  <w:style w:type="character" w:styleId="IntenseReference">
    <w:name w:val="Intense Reference"/>
    <w:basedOn w:val="DefaultParagraphFont"/>
    <w:uiPriority w:val="32"/>
    <w:qFormat/>
    <w:rsid w:val="003D60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19676">
      <w:bodyDiv w:val="1"/>
      <w:marLeft w:val="0"/>
      <w:marRight w:val="0"/>
      <w:marTop w:val="0"/>
      <w:marBottom w:val="0"/>
      <w:divBdr>
        <w:top w:val="none" w:sz="0" w:space="0" w:color="auto"/>
        <w:left w:val="none" w:sz="0" w:space="0" w:color="auto"/>
        <w:bottom w:val="none" w:sz="0" w:space="0" w:color="auto"/>
        <w:right w:val="none" w:sz="0" w:space="0" w:color="auto"/>
      </w:divBdr>
    </w:div>
    <w:div w:id="98262759">
      <w:bodyDiv w:val="1"/>
      <w:marLeft w:val="0"/>
      <w:marRight w:val="0"/>
      <w:marTop w:val="0"/>
      <w:marBottom w:val="0"/>
      <w:divBdr>
        <w:top w:val="none" w:sz="0" w:space="0" w:color="auto"/>
        <w:left w:val="none" w:sz="0" w:space="0" w:color="auto"/>
        <w:bottom w:val="none" w:sz="0" w:space="0" w:color="auto"/>
        <w:right w:val="none" w:sz="0" w:space="0" w:color="auto"/>
      </w:divBdr>
    </w:div>
    <w:div w:id="634485177">
      <w:bodyDiv w:val="1"/>
      <w:marLeft w:val="0"/>
      <w:marRight w:val="0"/>
      <w:marTop w:val="0"/>
      <w:marBottom w:val="0"/>
      <w:divBdr>
        <w:top w:val="none" w:sz="0" w:space="0" w:color="auto"/>
        <w:left w:val="none" w:sz="0" w:space="0" w:color="auto"/>
        <w:bottom w:val="none" w:sz="0" w:space="0" w:color="auto"/>
        <w:right w:val="none" w:sz="0" w:space="0" w:color="auto"/>
      </w:divBdr>
    </w:div>
    <w:div w:id="816382199">
      <w:bodyDiv w:val="1"/>
      <w:marLeft w:val="0"/>
      <w:marRight w:val="0"/>
      <w:marTop w:val="0"/>
      <w:marBottom w:val="0"/>
      <w:divBdr>
        <w:top w:val="none" w:sz="0" w:space="0" w:color="auto"/>
        <w:left w:val="none" w:sz="0" w:space="0" w:color="auto"/>
        <w:bottom w:val="none" w:sz="0" w:space="0" w:color="auto"/>
        <w:right w:val="none" w:sz="0" w:space="0" w:color="auto"/>
      </w:divBdr>
    </w:div>
    <w:div w:id="1016076652">
      <w:bodyDiv w:val="1"/>
      <w:marLeft w:val="0"/>
      <w:marRight w:val="0"/>
      <w:marTop w:val="0"/>
      <w:marBottom w:val="0"/>
      <w:divBdr>
        <w:top w:val="none" w:sz="0" w:space="0" w:color="auto"/>
        <w:left w:val="none" w:sz="0" w:space="0" w:color="auto"/>
        <w:bottom w:val="none" w:sz="0" w:space="0" w:color="auto"/>
        <w:right w:val="none" w:sz="0" w:space="0" w:color="auto"/>
      </w:divBdr>
    </w:div>
    <w:div w:id="1058169531">
      <w:bodyDiv w:val="1"/>
      <w:marLeft w:val="0"/>
      <w:marRight w:val="0"/>
      <w:marTop w:val="0"/>
      <w:marBottom w:val="0"/>
      <w:divBdr>
        <w:top w:val="none" w:sz="0" w:space="0" w:color="auto"/>
        <w:left w:val="none" w:sz="0" w:space="0" w:color="auto"/>
        <w:bottom w:val="none" w:sz="0" w:space="0" w:color="auto"/>
        <w:right w:val="none" w:sz="0" w:space="0" w:color="auto"/>
      </w:divBdr>
    </w:div>
    <w:div w:id="1082487626">
      <w:bodyDiv w:val="1"/>
      <w:marLeft w:val="0"/>
      <w:marRight w:val="0"/>
      <w:marTop w:val="0"/>
      <w:marBottom w:val="0"/>
      <w:divBdr>
        <w:top w:val="none" w:sz="0" w:space="0" w:color="auto"/>
        <w:left w:val="none" w:sz="0" w:space="0" w:color="auto"/>
        <w:bottom w:val="none" w:sz="0" w:space="0" w:color="auto"/>
        <w:right w:val="none" w:sz="0" w:space="0" w:color="auto"/>
      </w:divBdr>
    </w:div>
    <w:div w:id="1379932971">
      <w:bodyDiv w:val="1"/>
      <w:marLeft w:val="0"/>
      <w:marRight w:val="0"/>
      <w:marTop w:val="0"/>
      <w:marBottom w:val="0"/>
      <w:divBdr>
        <w:top w:val="none" w:sz="0" w:space="0" w:color="auto"/>
        <w:left w:val="none" w:sz="0" w:space="0" w:color="auto"/>
        <w:bottom w:val="none" w:sz="0" w:space="0" w:color="auto"/>
        <w:right w:val="none" w:sz="0" w:space="0" w:color="auto"/>
      </w:divBdr>
    </w:div>
    <w:div w:id="2094665840">
      <w:bodyDiv w:val="1"/>
      <w:marLeft w:val="0"/>
      <w:marRight w:val="0"/>
      <w:marTop w:val="0"/>
      <w:marBottom w:val="0"/>
      <w:divBdr>
        <w:top w:val="none" w:sz="0" w:space="0" w:color="auto"/>
        <w:left w:val="none" w:sz="0" w:space="0" w:color="auto"/>
        <w:bottom w:val="none" w:sz="0" w:space="0" w:color="auto"/>
        <w:right w:val="none" w:sz="0" w:space="0" w:color="auto"/>
      </w:divBdr>
    </w:div>
    <w:div w:id="213589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1826</TotalTime>
  <Pages>5</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Verma</dc:creator>
  <cp:keywords/>
  <dc:description/>
  <cp:lastModifiedBy>Akarsh Verma</cp:lastModifiedBy>
  <cp:revision>1</cp:revision>
  <dcterms:created xsi:type="dcterms:W3CDTF">2024-08-17T05:39:00Z</dcterms:created>
  <dcterms:modified xsi:type="dcterms:W3CDTF">2024-08-18T12:05:00Z</dcterms:modified>
</cp:coreProperties>
</file>