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 – Data Validation &amp; Enrichment</w:t>
        <w:br/>
        <w:t>Final Documentation &amp; Outcome Report</w:t>
      </w:r>
    </w:p>
    <w:p>
      <w:pPr>
        <w:pStyle w:val="Heading2"/>
      </w:pPr>
      <w:r>
        <w:t>Project Details</w:t>
      </w:r>
    </w:p>
    <w:p>
      <w:r>
        <w:t>Project: Senior Analyst – Data Operations Assignment</w:t>
        <w:br/>
        <w:t>Company: AxionRay</w:t>
        <w:br/>
        <w:t>Dataset: task1_cleaned_tagged_outcome_oriented.xlsx</w:t>
        <w:br/>
      </w:r>
    </w:p>
    <w:p>
      <w:pPr>
        <w:pStyle w:val="Heading2"/>
      </w:pPr>
      <w:r>
        <w:t>1. Executive Summary</w:t>
      </w:r>
    </w:p>
    <w:p>
      <w:r>
        <w:t>This document presents a complete data validation, cleaning, enrichment, and outcome analysis performed on the provided service and repair dataset. The objective was to transform raw operational data into a reliable, analysis-ready asset that supports engineering quality analysis, cost-based prioritization, and scalable downstream analytics and ML workflows.</w:t>
      </w:r>
    </w:p>
    <w:p>
      <w:pPr>
        <w:pStyle w:val="Heading2"/>
      </w:pPr>
      <w:r>
        <w:t>2. Dataset Overview</w:t>
      </w:r>
    </w:p>
    <w:p>
      <w:r>
        <w:t>The dataset represents automotive service and repair records and contains a mix of structured attributes (dates, platforms, parts, costs) and unstructured text fields (customer verbatim, correction notes, labor descriptions). This structure makes it suitable for both traditional analytics and NLP-based enrichment.</w:t>
      </w:r>
    </w:p>
    <w:p>
      <w:pPr>
        <w:pStyle w:val="Heading2"/>
      </w:pPr>
      <w:r>
        <w:t>3. Objectives of Task 1</w:t>
      </w:r>
    </w:p>
    <w:p>
      <w:r>
        <w:t>- Perform column-wise data validation</w:t>
        <w:br/>
        <w:t>- Identify data quality issues and discrepancies</w:t>
        <w:br/>
        <w:t>- Apply explainable and auditable cleaning logic</w:t>
        <w:br/>
        <w:t>- Identify critical analytical columns</w:t>
        <w:br/>
        <w:t>- Generate outcome-driven insights</w:t>
        <w:br/>
        <w:t>- Convert unstructured text into structured signals</w:t>
        <w:br/>
        <w:t>- Deliver a final cleaned dataset ready for downstream use</w:t>
      </w:r>
    </w:p>
    <w:p>
      <w:pPr>
        <w:pStyle w:val="Heading2"/>
      </w:pPr>
      <w:r>
        <w:t>4. Column-wise Data Validation</w:t>
      </w:r>
    </w:p>
    <w:p>
      <w:r>
        <w:t>Each column was profiled for data type, missing value percentage, uniqueness, and representative samples. Columns with very high missingness were flagged for escalation, while partially missing technical columns were retained with controlled handling to preserve analytical value.</w:t>
      </w:r>
    </w:p>
    <w:p>
      <w:pPr>
        <w:pStyle w:val="Heading2"/>
      </w:pPr>
      <w:r>
        <w:t>5. Data Cleaning Strategy</w:t>
      </w:r>
    </w:p>
    <w:p>
      <w:r>
        <w:t>Cleaning followed strict principles: preservation of original columns, no fabrication of identifiers, and full transparency of logic. Steps included text normalization, categorical standardization, date parsing, numeric coercion, outlier capping using percentile-based winsorization, and controlled missing value handling.</w:t>
      </w:r>
    </w:p>
    <w:p>
      <w:pPr>
        <w:pStyle w:val="Heading2"/>
      </w:pPr>
      <w:r>
        <w:t>6. Critical Columns Identified</w:t>
      </w:r>
    </w:p>
    <w:p>
      <w:r>
        <w:t>The following columns were identified as most critical for outcome-driven analysis:</w:t>
        <w:br/>
        <w:t>- CAUSAL_PART_NM (what failed)</w:t>
        <w:br/>
        <w:t>- GLOBAL_LABOR_CODE_DESCRIPTION (type of repair)</w:t>
        <w:br/>
        <w:t>- REPAIR_DATE (temporal trends)</w:t>
        <w:br/>
        <w:t>- PLATFORM (product family)</w:t>
        <w:br/>
        <w:t>- TOTALCOST (business impact)</w:t>
      </w:r>
    </w:p>
    <w:p>
      <w:pPr>
        <w:pStyle w:val="Heading2"/>
      </w:pPr>
      <w:r>
        <w:t>7. Visual Insights &amp; Findings</w:t>
      </w:r>
    </w:p>
    <w:p>
      <w:r>
        <w:t>Visual analysis revealed that a limited set of parts and platforms account for a significant proportion of repair events. Time-series analysis showed temporal clustering of issues, indicating potential systemic or release-related effects.</w:t>
      </w:r>
    </w:p>
    <w:p>
      <w:pPr>
        <w:pStyle w:val="Heading2"/>
      </w:pPr>
      <w:r>
        <w:t>8. Free-text Enrichment</w:t>
      </w:r>
    </w:p>
    <w:p>
      <w:r>
        <w:t>Unstructured text fields were transformed into structured intelligence through rule-based tagging. The following tag columns were added:</w:t>
        <w:br/>
        <w:t>- TAG_COMPONENTS</w:t>
        <w:br/>
        <w:t>- TAG_CONDITIONS</w:t>
        <w:br/>
        <w:t>- TAG_ACTIONS</w:t>
        <w:br/>
        <w:t>- TAG_KEYWORDS</w:t>
        <w:br/>
        <w:t>This enabled scalable aggregation of symptoms, actions, and failure themes.</w:t>
      </w:r>
    </w:p>
    <w:p>
      <w:pPr>
        <w:pStyle w:val="Heading2"/>
      </w:pPr>
      <w:r>
        <w:t>9. Cost Impact Findings</w:t>
      </w:r>
    </w:p>
    <w:p>
      <w:r>
        <w:t>Cost analysis demonstrated that high-frequency issues are not always the highest cost drivers. This reinforced the importance of prioritizing issues based on total and average cost impact, not just occurrence volume.</w:t>
      </w:r>
    </w:p>
    <w:p>
      <w:pPr>
        <w:pStyle w:val="Heading2"/>
      </w:pPr>
      <w:r>
        <w:t>10. Final Dataset</w:t>
      </w:r>
    </w:p>
    <w:p>
      <w:r>
        <w:t>The final dataset preserves all original columns, applies consistent cleaning logic, and includes outcome-oriented enrichment. It is ready for dashboards, analytics, machine learning pipelines, and proactive quality intelligence workflows.</w:t>
      </w:r>
    </w:p>
    <w:p>
      <w:pPr>
        <w:pStyle w:val="Heading2"/>
      </w:pPr>
      <w:r>
        <w:t>11. Recommendations &amp; Next Steps</w:t>
      </w:r>
    </w:p>
    <w:p>
      <w:r>
        <w:t>Recommended follow-ups include validation of tag accuracy, implementation of automated data quality checks, and integration of this dataset into AxionRay’s proactive issue detection and analytics systems.</w:t>
      </w:r>
    </w:p>
    <w:p>
      <w:pPr>
        <w:pStyle w:val="Heading2"/>
      </w:pPr>
      <w:r>
        <w:t>12. Conclusion</w:t>
      </w:r>
    </w:p>
    <w:p>
      <w:r>
        <w:t>Task 1 has been successfully completed with a strong focus on data trust, outcome orientation, and engineering relevance. The resulting dataset and documentation are aligned with AxionRay’s data operations standards and mission to improve product quality through AI-driven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