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E2A47"/>
          <w:sz w:val="28"/>
          <w:szCs w:val="28"/>
        </w:rPr>
        <w:t xml:space="preserve">M.TECH PROJECT – S3 PROJECT PROGRESS REVIEW</w:t>
      </w:r>
    </w:p>
    <w:p>
      <w:pPr>
        <w:spacing w:after="200"/>
        <w:jc w:val="center"/>
      </w:pPr>
      <w:r>
        <w:rPr>
          <w:rFonts w:ascii="Calibri" w:cs="Calibri" w:eastAsia="Calibri" w:hAnsi="Calibri"/>
          <w:b/>
          <w:bCs/>
          <w:sz w:val="22"/>
          <w:szCs w:val="22"/>
        </w:rPr>
        <w:t xml:space="preserve">STUDENT SUBMISSION AFTER GUIDE MEETING</w:t>
      </w:r>
    </w:p>
    <w:p>
      <w:pPr>
        <w:pBdr>
          <w:bottom w:val="single" w:color="1E2A47" w:sz="6" w:space="2"/>
        </w:pBdr>
        <w:spacing w:after="100" w:before="200"/>
      </w:pPr>
      <w:r>
        <w:rPr>
          <w:rFonts w:ascii="Calibri" w:cs="Calibri" w:eastAsia="Calibri" w:hAnsi="Calibri"/>
          <w:b/>
          <w:bCs/>
          <w:color w:val="1E2A47"/>
          <w:sz w:val="22"/>
          <w:szCs w:val="22"/>
        </w:rPr>
        <w:t xml:space="preserve">1. STUDENT &amp; PROJECT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900"/>
        <w:gridCol w:w="2600"/>
      </w:tblGrid>
      <w:t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Student Name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Akash Ramesh</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Register / Roll No.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AM.SC.P2AML25002</w:t>
            </w:r>
          </w:p>
        </w:tc>
      </w:tr>
      <w:t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M.Tech Specialization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Artificial Intelligence &amp; Machine Learning</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Semester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Semester III</w:t>
            </w:r>
          </w:p>
        </w:tc>
      </w:tr>
      <w:t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Academic Year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2026–27</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S3 Review / Meeting Date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shd w:fill="FFF200" w:color="auto" w:val="clear"/>
              </w:rPr>
              <w:t xml:space="preserve">[DD Mon 2026]</w:t>
            </w:r>
          </w:p>
        </w:tc>
      </w:tr>
      <w:t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Project Guide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Dr. Aswathy Mohan</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Co-Guide (if any)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bl>
    <w:p>
      <w:pPr>
        <w:pBdr>
          <w:bottom w:val="single" w:color="1E2A47" w:sz="6" w:space="2"/>
        </w:pBdr>
        <w:spacing w:after="100" w:before="200"/>
      </w:pPr>
      <w:r>
        <w:rPr>
          <w:rFonts w:ascii="Calibri" w:cs="Calibri" w:eastAsia="Calibri" w:hAnsi="Calibri"/>
          <w:b/>
          <w:bCs/>
          <w:color w:val="1E2A47"/>
          <w:sz w:val="22"/>
          <w:szCs w:val="22"/>
        </w:rPr>
        <w:t xml:space="preserve">2. PROJECT TITLE</w:t>
      </w:r>
    </w:p>
    <w:p>
      <w:pPr>
        <w:spacing w:after="80"/>
      </w:pPr>
      <w:r>
        <w:rPr>
          <w:rFonts w:ascii="Calibri" w:cs="Calibri" w:eastAsia="Calibri" w:hAnsi="Calibri"/>
          <w:b/>
          <w:bCs/>
          <w:sz w:val="20"/>
          <w:szCs w:val="20"/>
        </w:rPr>
        <w:t xml:space="preserve">Adaptive Context Construction for Biomedical Retrieval-Augmented Generation: An Empirical Study of Chunking and Retrieval Strategies on PubMed</w:t>
      </w:r>
    </w:p>
    <w:p>
      <w:pPr>
        <w:pBdr>
          <w:bottom w:val="single" w:color="1E2A47" w:sz="6" w:space="2"/>
        </w:pBdr>
        <w:spacing w:after="100" w:before="200"/>
      </w:pPr>
      <w:r>
        <w:rPr>
          <w:rFonts w:ascii="Calibri" w:cs="Calibri" w:eastAsia="Calibri" w:hAnsi="Calibri"/>
          <w:b/>
          <w:bCs/>
          <w:color w:val="1E2A47"/>
          <w:sz w:val="22"/>
          <w:szCs w:val="22"/>
        </w:rPr>
        <w:t xml:space="preserve">3. ABSTRACT</w:t>
      </w:r>
    </w:p>
    <w:p>
      <w:pPr>
        <w:spacing w:after="80"/>
        <w:jc w:val="both"/>
      </w:pPr>
      <w:r>
        <w:rPr>
          <w:rFonts w:ascii="Calibri" w:cs="Calibri" w:eastAsia="Calibri" w:hAnsi="Calibri"/>
          <w:sz w:val="20"/>
          <w:szCs w:val="20"/>
        </w:rPr>
        <w:t xml:space="preserve">Retrieval-Augmented Generation (RAG) systems depend on how source text is segmented into retrievable units, yet chunking decisions are usually made by convention rather than evidence, and have not been validated on biomedical text. This project presents a controlled factorial study of context-construction strategies on a corpus of 981 PubMed abstracts spanning five disease areas, evaluated against 100 question–answer pairs. Fifteen chunking conditions were compared — twelve fixed-token configurations (three sizes × four overlap ratios), NLTK sentence segmentation, scispaCy biomedical segmentation, and semantic chunking — across two embedding models (MiniLM and PubMedBERT) and four retrieval depths, with generation held constant using Llama 3.1 8B at temperature 0. In total 12,000 runs were executed and scored on answer relevance, ROUGE-L, faithfulness, retrieval recall, context size and latency. Three pre-registered hypotheses were tested using ANOVA, Tukey HSD and ANCOVA. Overlap showed no significant effect; sentence and semantic strategies did not differ significantly; and answer quality declined continuously with context size rather than at a threshold. Chunk size emerged as the dominant factor, with small fixed-token chunks performing best. The results provide evidence-based guidance for resource-constrained biomedical RAG and an empirical foundation for adaptive context selection.</w:t>
      </w:r>
    </w:p>
    <w:p>
      <w:r>
        <w:br w:type="page"/>
      </w:r>
    </w:p>
    <w:p>
      <w:pPr>
        <w:pBdr>
          <w:bottom w:val="single" w:color="1E2A47" w:sz="6" w:space="2"/>
        </w:pBdr>
        <w:spacing w:after="100" w:before="200"/>
      </w:pPr>
      <w:r>
        <w:rPr>
          <w:rFonts w:ascii="Calibri" w:cs="Calibri" w:eastAsia="Calibri" w:hAnsi="Calibri"/>
          <w:b/>
          <w:bCs/>
          <w:color w:val="1E2A47"/>
          <w:sz w:val="22"/>
          <w:szCs w:val="22"/>
        </w:rPr>
        <w:t xml:space="preserve">4. MILESTONE / PROJECT PROGRESS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3150"/>
        <w:gridCol w:w="1000"/>
        <w:gridCol w:w="1200"/>
        <w:gridCol w:w="1200"/>
        <w:gridCol w:w="2000"/>
      </w:tblGrid>
      <w:tr>
        <w:tc>
          <w:tcPr>
            <w:tcW w:type="dxa" w:w="450"/>
            <w:tcBorders>
              <w:top w:val="single" w:color="999999" w:sz="4"/>
              <w:left w:val="single" w:color="999999" w:sz="4"/>
              <w:bottom w:val="single" w:color="999999" w:sz="4"/>
              <w:right w:val="single" w:color="999999" w:sz="4"/>
            </w:tcBorders>
            <w:shd w:fill="1E2A47"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Sl.</w:t>
            </w:r>
          </w:p>
        </w:tc>
        <w:tc>
          <w:tcPr>
            <w:tcW w:type="dxa" w:w="3150"/>
            <w:tcBorders>
              <w:top w:val="single" w:color="999999" w:sz="4"/>
              <w:left w:val="single" w:color="999999" w:sz="4"/>
              <w:bottom w:val="single" w:color="999999" w:sz="4"/>
              <w:right w:val="single" w:color="999999" w:sz="4"/>
            </w:tcBorders>
            <w:shd w:fill="1E2A47"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Milestone / Activity</w:t>
            </w:r>
          </w:p>
        </w:tc>
        <w:tc>
          <w:tcPr>
            <w:tcW w:type="dxa" w:w="1000"/>
            <w:tcBorders>
              <w:top w:val="single" w:color="999999" w:sz="4"/>
              <w:left w:val="single" w:color="999999" w:sz="4"/>
              <w:bottom w:val="single" w:color="999999" w:sz="4"/>
              <w:right w:val="single" w:color="999999" w:sz="4"/>
            </w:tcBorders>
            <w:shd w:fill="1E2A47"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Status</w:t>
            </w:r>
          </w:p>
        </w:tc>
        <w:tc>
          <w:tcPr>
            <w:tcW w:type="dxa" w:w="1200"/>
            <w:tcBorders>
              <w:top w:val="single" w:color="999999" w:sz="4"/>
              <w:left w:val="single" w:color="999999" w:sz="4"/>
              <w:bottom w:val="single" w:color="999999" w:sz="4"/>
              <w:right w:val="single" w:color="999999" w:sz="4"/>
            </w:tcBorders>
            <w:shd w:fill="1E2A47"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Completed / Progress Date</w:t>
            </w:r>
          </w:p>
        </w:tc>
        <w:tc>
          <w:tcPr>
            <w:tcW w:type="dxa" w:w="1200"/>
            <w:tcBorders>
              <w:top w:val="single" w:color="999999" w:sz="4"/>
              <w:left w:val="single" w:color="999999" w:sz="4"/>
              <w:bottom w:val="single" w:color="999999" w:sz="4"/>
              <w:right w:val="single" w:color="999999" w:sz="4"/>
            </w:tcBorders>
            <w:shd w:fill="1E2A47"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Target Completion Date</w:t>
            </w:r>
          </w:p>
        </w:tc>
        <w:tc>
          <w:tcPr>
            <w:tcW w:type="dxa" w:w="2000"/>
            <w:tcBorders>
              <w:top w:val="single" w:color="999999" w:sz="4"/>
              <w:left w:val="single" w:color="999999" w:sz="4"/>
              <w:bottom w:val="single" w:color="999999" w:sz="4"/>
              <w:right w:val="single" w:color="999999" w:sz="4"/>
            </w:tcBorders>
            <w:shd w:fill="1E2A47"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Remarks</w:t>
            </w:r>
          </w:p>
        </w:tc>
      </w:tr>
      <w:t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Literature survey and problem formulation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Completed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Jun 2026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Jun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Six recent papers reviewed; three falsifiable hypotheses defined</w:t>
            </w:r>
          </w:p>
        </w:tc>
      </w:tr>
      <w:t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Corpus collection — 981 PubMed abstracts, 5 MeSH-defined topics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Completed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Jun 2026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Jun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Collected via Entrez API</w:t>
            </w:r>
          </w:p>
        </w:tc>
      </w:tr>
      <w:t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QA dataset — 100 question–answer pairs with gold source PMIDs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Completed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Jun 2026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Jun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20 per topic; automated PMID matching</w:t>
            </w:r>
          </w:p>
        </w:tc>
      </w:tr>
      <w:t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Chunking (15 conditions) and FAISS indexing (30 indexes)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Completed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Jun 2026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Jun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Proposition chunking deferred</w:t>
            </w:r>
          </w:p>
        </w:tc>
      </w:tr>
      <w:t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Retrieval–generation–evaluation pipeline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Completed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Jun 2026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Jun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Generator migrated to Cloudflare Workers AI (Llama 3.1 8B)</w:t>
            </w:r>
          </w:p>
        </w:tc>
      </w:tr>
      <w:t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Experiment execution — 12,000 runs (Part A 9,600 + Part B 2,400)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Completed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08 Aug 2026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Aug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Sharded runner with checkpointing; data validated</w:t>
            </w:r>
          </w:p>
        </w:tc>
      </w:tr>
      <w:t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7</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Statistical analysis and hypothesis testing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Completed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08 Aug 2026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Aug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ANOVA, Tukey HSD, ANCOVA; six figures generated</w:t>
            </w:r>
          </w:p>
        </w:tc>
      </w:tr>
      <w:t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Final presentation and conference paper draft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 progress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shd w:fill="FFF200" w:color="auto" w:val="clear"/>
              </w:rPr>
              <w:t xml:space="preserve">[DD Mon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Slides being finalised; paper drafting to follow</w:t>
            </w:r>
          </w:p>
        </w:tc>
      </w:tr>
    </w:tbl>
    <w:p>
      <w:pPr>
        <w:pBdr>
          <w:bottom w:val="single" w:color="1E2A47" w:sz="6" w:space="2"/>
        </w:pBdr>
        <w:spacing w:after="100" w:before="200"/>
      </w:pPr>
      <w:r>
        <w:rPr>
          <w:rFonts w:ascii="Calibri" w:cs="Calibri" w:eastAsia="Calibri" w:hAnsi="Calibri"/>
          <w:b/>
          <w:bCs/>
          <w:color w:val="1E2A47"/>
          <w:sz w:val="22"/>
          <w:szCs w:val="22"/>
        </w:rPr>
        <w:t xml:space="preserve">5. GUIDE MEETING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700"/>
        <w:gridCol w:w="2800"/>
      </w:tblGrid>
      <w:tr>
        <w:tc>
          <w:tcPr>
            <w:tcW w:type="dxa" w:w="1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Meeting Date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shd w:fill="FFF200" w:color="auto" w:val="clear"/>
              </w:rPr>
              <w:t xml:space="preserve">[DD Mon 2026]</w:t>
            </w:r>
          </w:p>
        </w:tc>
        <w:tc>
          <w:tcPr>
            <w:tcW w:type="dxa" w:w="1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Meeting No.</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shd w:fill="FFF200" w:color="auto" w:val="clear"/>
              </w:rPr>
              <w:t xml:space="preserve">[No.]</w:t>
            </w:r>
            <w:r>
              <w:rPr>
                <w:rFonts w:ascii="Calibri" w:cs="Calibri" w:eastAsia="Calibri" w:hAnsi="Calibri"/>
                <w:sz w:val="20"/>
                <w:szCs w:val="20"/>
              </w:rPr>
              <w:t xml:space="preserve">  (S3 Progress Review)</w:t>
            </w:r>
          </w:p>
        </w:tc>
      </w:tr>
      <w:tr>
        <w:tc>
          <w:tcPr>
            <w:tcW w:type="dxa" w:w="1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Mode / Venue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shd w:fill="FFF200" w:color="auto" w:val="clear"/>
              </w:rPr>
              <w:t xml:space="preserve">[Online / Offline – venue]</w:t>
            </w:r>
          </w:p>
        </w:tc>
        <w:tc>
          <w:tcPr>
            <w:tcW w:type="dxa" w:w="1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Duration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shd w:fill="FFF200" w:color="auto" w:val="clear"/>
              </w:rPr>
              <w:t xml:space="preserve">[xx min]</w:t>
            </w:r>
          </w:p>
        </w:tc>
      </w:tr>
    </w:tbl>
    <w:p>
      <w:pPr>
        <w:spacing w:after="60" w:before="120"/>
      </w:pPr>
      <w:r>
        <w:rPr>
          <w:rFonts w:ascii="Calibri" w:cs="Calibri" w:eastAsia="Calibri" w:hAnsi="Calibri"/>
          <w:b/>
          <w:bCs/>
          <w:sz w:val="20"/>
          <w:szCs w:val="20"/>
        </w:rPr>
        <w:t xml:space="preserve">Agenda / Objectives</w:t>
      </w:r>
    </w:p>
    <w:p>
      <w:pPr>
        <w:pStyle w:val="ListParagraph"/>
        <w:numPr>
          <w:ilvl w:val="0"/>
          <w:numId w:val="2"/>
        </w:numPr>
        <w:spacing w:after="60"/>
      </w:pPr>
      <w:r>
        <w:rPr>
          <w:rFonts w:ascii="Calibri" w:cs="Calibri" w:eastAsia="Calibri" w:hAnsi="Calibri"/>
          <w:sz w:val="20"/>
          <w:szCs w:val="20"/>
        </w:rPr>
        <w:t xml:space="preserve">Review of completed experimental work and results</w:t>
      </w:r>
    </w:p>
    <w:p>
      <w:pPr>
        <w:pStyle w:val="ListParagraph"/>
        <w:numPr>
          <w:ilvl w:val="0"/>
          <w:numId w:val="2"/>
        </w:numPr>
        <w:spacing w:after="60"/>
      </w:pPr>
      <w:r>
        <w:rPr>
          <w:rFonts w:ascii="Calibri" w:cs="Calibri" w:eastAsia="Calibri" w:hAnsi="Calibri"/>
          <w:sz w:val="20"/>
          <w:szCs w:val="20"/>
        </w:rPr>
        <w:t xml:space="preserve">Discussion of the evaluation-metric framework and how results should be reported</w:t>
      </w:r>
    </w:p>
    <w:p>
      <w:pPr>
        <w:pStyle w:val="ListParagraph"/>
        <w:numPr>
          <w:ilvl w:val="0"/>
          <w:numId w:val="2"/>
        </w:numPr>
        <w:spacing w:after="60"/>
      </w:pPr>
      <w:r>
        <w:rPr>
          <w:rFonts w:ascii="Calibri" w:cs="Calibri" w:eastAsia="Calibri" w:hAnsi="Calibri"/>
          <w:sz w:val="20"/>
          <w:szCs w:val="20"/>
        </w:rPr>
        <w:t xml:space="preserve">Framing of the final presentation and thesis contribution</w:t>
      </w:r>
    </w:p>
    <w:p>
      <w:pPr>
        <w:pStyle w:val="ListParagraph"/>
        <w:numPr>
          <w:ilvl w:val="0"/>
          <w:numId w:val="2"/>
        </w:numPr>
        <w:spacing w:after="60"/>
      </w:pPr>
      <w:r>
        <w:rPr>
          <w:rFonts w:ascii="Calibri" w:cs="Calibri" w:eastAsia="Calibri" w:hAnsi="Calibri"/>
          <w:sz w:val="20"/>
          <w:szCs w:val="20"/>
        </w:rPr>
        <w:t xml:space="preserve">Planning of the conference paper draft</w:t>
      </w:r>
    </w:p>
    <w:p>
      <w:pPr>
        <w:spacing w:after="60" w:before="120"/>
      </w:pPr>
      <w:r>
        <w:rPr>
          <w:rFonts w:ascii="Calibri" w:cs="Calibri" w:eastAsia="Calibri" w:hAnsi="Calibri"/>
          <w:b/>
          <w:bCs/>
          <w:sz w:val="20"/>
          <w:szCs w:val="20"/>
        </w:rPr>
        <w:t xml:space="preserve">Discussion on Project Progress</w:t>
      </w:r>
    </w:p>
    <w:p>
      <w:pPr>
        <w:pStyle w:val="ListParagraph"/>
        <w:numPr>
          <w:ilvl w:val="0"/>
          <w:numId w:val="2"/>
        </w:numPr>
        <w:spacing w:after="60"/>
      </w:pPr>
      <w:r>
        <w:rPr>
          <w:rFonts w:ascii="Calibri" w:cs="Calibri" w:eastAsia="Calibri" w:hAnsi="Calibri"/>
          <w:sz w:val="20"/>
          <w:szCs w:val="20"/>
        </w:rPr>
        <w:t xml:space="preserve">All 12,000 experimental runs are complete across 15 chunking conditions, two embedding models and four retrieval depths; the dataset was validated with zero corrupt or duplicate rows.</w:t>
      </w:r>
    </w:p>
    <w:p>
      <w:pPr>
        <w:pStyle w:val="ListParagraph"/>
        <w:numPr>
          <w:ilvl w:val="0"/>
          <w:numId w:val="2"/>
        </w:numPr>
        <w:spacing w:after="60"/>
      </w:pPr>
      <w:r>
        <w:rPr>
          <w:rFonts w:ascii="Calibri" w:cs="Calibri" w:eastAsia="Calibri" w:hAnsi="Calibri"/>
          <w:sz w:val="20"/>
          <w:szCs w:val="20"/>
        </w:rPr>
        <w:t xml:space="preserve">Evaluation metrics were reviewed in detail. ROUGE-L against the reference answer is used as the primary quality metric, supported by answer relevance, faithfulness, retrieval recall, context size and latency.</w:t>
      </w:r>
    </w:p>
    <w:p>
      <w:pPr>
        <w:pStyle w:val="ListParagraph"/>
        <w:numPr>
          <w:ilvl w:val="0"/>
          <w:numId w:val="2"/>
        </w:numPr>
        <w:spacing w:after="60"/>
      </w:pPr>
      <w:r>
        <w:rPr>
          <w:rFonts w:ascii="Calibri" w:cs="Calibri" w:eastAsia="Calibri" w:hAnsi="Calibri"/>
          <w:sz w:val="20"/>
          <w:szCs w:val="20"/>
        </w:rPr>
        <w:t xml:space="preserve">Approximately 63% of runs returned an "insufficient context" refusal. It was discussed that a raw mean therefore conflates refusal frequency with answer quality, and that the two should be reported as separate outcomes — answer rate, and quality conditional on answering.</w:t>
      </w:r>
    </w:p>
    <w:p>
      <w:pPr>
        <w:pStyle w:val="ListParagraph"/>
        <w:numPr>
          <w:ilvl w:val="0"/>
          <w:numId w:val="2"/>
        </w:numPr>
        <w:spacing w:after="60"/>
      </w:pPr>
      <w:r>
        <w:rPr>
          <w:rFonts w:ascii="Calibri" w:cs="Calibri" w:eastAsia="Calibri" w:hAnsi="Calibri"/>
          <w:sz w:val="20"/>
          <w:szCs w:val="20"/>
        </w:rPr>
        <w:t xml:space="preserve">Retrieval recall was found to diverge from ROUGE-L because each question carries a single gold PMID while several abstracts in the corpus state the same fact; the model often answers correctly from a non-gold source. This was identified as an annotation limitation to be stated explicitly.</w:t>
      </w:r>
    </w:p>
    <w:p>
      <w:pPr>
        <w:pStyle w:val="ListParagraph"/>
        <w:numPr>
          <w:ilvl w:val="0"/>
          <w:numId w:val="2"/>
        </w:numPr>
        <w:spacing w:after="60"/>
      </w:pPr>
      <w:r>
        <w:rPr>
          <w:rFonts w:ascii="Calibri" w:cs="Calibri" w:eastAsia="Calibri" w:hAnsi="Calibri"/>
          <w:sz w:val="20"/>
          <w:szCs w:val="20"/>
        </w:rPr>
        <w:t xml:space="preserve">Chunking strategies deliver different context volumes at the same k, so the strategy comparison was additionally run as an ANCOVA with context size as covariate; the null result for H2 survives the control.</w:t>
      </w:r>
    </w:p>
    <w:p>
      <w:pPr>
        <w:pStyle w:val="ListParagraph"/>
        <w:numPr>
          <w:ilvl w:val="0"/>
          <w:numId w:val="2"/>
        </w:numPr>
        <w:spacing w:after="60"/>
      </w:pPr>
      <w:r>
        <w:rPr>
          <w:rFonts w:ascii="Calibri" w:cs="Calibri" w:eastAsia="Calibri" w:hAnsi="Calibri"/>
          <w:sz w:val="20"/>
          <w:szCs w:val="20"/>
        </w:rPr>
        <w:t xml:space="preserve">Headline findings: overlap has no significant effect (H1 supported); sentence and semantic chunking do not differ (H2 supported); quality declines continuously with context size rather than at a threshold (H3 supported in direction, refined in form). Chunk size is the dominant factor.</w:t>
      </w:r>
    </w:p>
    <w:p>
      <w:pPr>
        <w:spacing w:after="60" w:before="120"/>
      </w:pPr>
      <w:r>
        <w:rPr>
          <w:rFonts w:ascii="Calibri" w:cs="Calibri" w:eastAsia="Calibri" w:hAnsi="Calibri"/>
          <w:b/>
          <w:bCs/>
          <w:sz w:val="20"/>
          <w:szCs w:val="20"/>
        </w:rPr>
        <w:t xml:space="preserve">Guide's Guidance / Decisions</w:t>
      </w:r>
    </w:p>
    <w:p>
      <w:pPr>
        <w:pStyle w:val="ListParagraph"/>
        <w:numPr>
          <w:ilvl w:val="0"/>
          <w:numId w:val="2"/>
        </w:numPr>
        <w:spacing w:after="60"/>
      </w:pPr>
      <w:r>
        <w:rPr>
          <w:rFonts w:ascii="Calibri" w:cs="Calibri" w:eastAsia="Calibri" w:hAnsi="Calibri"/>
          <w:sz w:val="20"/>
          <w:szCs w:val="20"/>
        </w:rPr>
        <w:t xml:space="preserve">Report answer rate and conditional answer quality separately in all results tables and figures.</w:t>
      </w:r>
    </w:p>
    <w:p>
      <w:pPr>
        <w:pStyle w:val="ListParagraph"/>
        <w:numPr>
          <w:ilvl w:val="0"/>
          <w:numId w:val="2"/>
        </w:numPr>
        <w:spacing w:after="60"/>
      </w:pPr>
      <w:r>
        <w:rPr>
          <w:rFonts w:ascii="Calibri" w:cs="Calibri" w:eastAsia="Calibri" w:hAnsi="Calibri"/>
          <w:sz w:val="20"/>
          <w:szCs w:val="20"/>
        </w:rPr>
        <w:t xml:space="preserve">State the single-gold-PMID limitation of retrieval recall explicitly and treat recall as a secondary diagnostic.</w:t>
      </w:r>
    </w:p>
    <w:p>
      <w:pPr>
        <w:pStyle w:val="ListParagraph"/>
        <w:numPr>
          <w:ilvl w:val="0"/>
          <w:numId w:val="2"/>
        </w:numPr>
        <w:spacing w:after="60"/>
      </w:pPr>
      <w:r>
        <w:rPr>
          <w:rFonts w:ascii="Calibri" w:cs="Calibri" w:eastAsia="Calibri" w:hAnsi="Calibri"/>
          <w:sz w:val="20"/>
          <w:szCs w:val="20"/>
        </w:rPr>
        <w:t xml:space="preserve">Present the context-size result as continuous degradation; do not describe it as a threshold or cliff.</w:t>
      </w:r>
    </w:p>
    <w:p>
      <w:pPr>
        <w:pStyle w:val="ListParagraph"/>
        <w:numPr>
          <w:ilvl w:val="0"/>
          <w:numId w:val="2"/>
        </w:numPr>
        <w:spacing w:after="60"/>
      </w:pPr>
      <w:r>
        <w:rPr>
          <w:rFonts w:ascii="Calibri" w:cs="Calibri" w:eastAsia="Calibri" w:hAnsi="Calibri"/>
          <w:sz w:val="20"/>
          <w:szCs w:val="20"/>
        </w:rPr>
        <w:t xml:space="preserve">Consider a small human evaluation on a sample of answers to complement the automatic metrics.</w:t>
      </w:r>
    </w:p>
    <w:p>
      <w:pPr>
        <w:pStyle w:val="ListParagraph"/>
        <w:numPr>
          <w:ilvl w:val="0"/>
          <w:numId w:val="2"/>
        </w:numPr>
        <w:spacing w:after="60"/>
      </w:pPr>
      <w:r>
        <w:rPr>
          <w:rFonts w:ascii="Calibri" w:cs="Calibri" w:eastAsia="Calibri" w:hAnsi="Calibri"/>
          <w:sz w:val="20"/>
          <w:szCs w:val="20"/>
        </w:rPr>
        <w:t xml:space="preserve">Proceed with the conference paper draft targeting a biomedical NLP venue.</w:t>
      </w:r>
    </w:p>
    <w:p>
      <w:pPr>
        <w:spacing w:after="60" w:before="120"/>
      </w:pPr>
      <w:r>
        <w:rPr>
          <w:rFonts w:ascii="Calibri" w:cs="Calibri" w:eastAsia="Calibri" w:hAnsi="Calibri"/>
          <w:b/>
          <w:bCs/>
          <w:sz w:val="20"/>
          <w:szCs w:val="20"/>
        </w:rPr>
        <w:t xml:space="preserve">Action Items &amp; Target Dates</w:t>
      </w:r>
    </w:p>
    <w:p>
      <w:pPr>
        <w:pStyle w:val="ListParagraph"/>
        <w:numPr>
          <w:ilvl w:val="0"/>
          <w:numId w:val="2"/>
        </w:numPr>
        <w:spacing w:after="60"/>
      </w:pPr>
      <w:r>
        <w:rPr>
          <w:rFonts w:ascii="Calibri" w:cs="Calibri" w:eastAsia="Calibri" w:hAnsi="Calibri"/>
          <w:sz w:val="20"/>
          <w:szCs w:val="20"/>
        </w:rPr>
        <w:t xml:space="preserve">Finalise presentation slides with corrected figures (981 abstracts, 15 conditions, 12,000 runs) — target </w:t>
      </w:r>
      <w:r>
        <w:rPr>
          <w:rFonts w:ascii="Calibri" w:cs="Calibri" w:eastAsia="Calibri" w:hAnsi="Calibri"/>
          <w:sz w:val="20"/>
          <w:szCs w:val="20"/>
          <w:shd w:fill="FFF200" w:color="auto" w:val="clear"/>
        </w:rPr>
        <w:t xml:space="preserve">[DD Mon 2026]</w:t>
      </w:r>
    </w:p>
    <w:p>
      <w:pPr>
        <w:pStyle w:val="ListParagraph"/>
        <w:numPr>
          <w:ilvl w:val="0"/>
          <w:numId w:val="2"/>
        </w:numPr>
        <w:spacing w:after="60"/>
      </w:pPr>
      <w:r>
        <w:rPr>
          <w:rFonts w:ascii="Calibri" w:cs="Calibri" w:eastAsia="Calibri" w:hAnsi="Calibri"/>
          <w:sz w:val="20"/>
          <w:szCs w:val="20"/>
        </w:rPr>
        <w:t xml:space="preserve">Prepare results tables reporting answer rate and conditional quality separately — target </w:t>
      </w:r>
      <w:r>
        <w:rPr>
          <w:rFonts w:ascii="Calibri" w:cs="Calibri" w:eastAsia="Calibri" w:hAnsi="Calibri"/>
          <w:sz w:val="20"/>
          <w:szCs w:val="20"/>
          <w:shd w:fill="FFF200" w:color="auto" w:val="clear"/>
        </w:rPr>
        <w:t xml:space="preserve">[DD Mon 2026]</w:t>
      </w:r>
    </w:p>
    <w:p>
      <w:pPr>
        <w:pStyle w:val="ListParagraph"/>
        <w:numPr>
          <w:ilvl w:val="0"/>
          <w:numId w:val="2"/>
        </w:numPr>
        <w:spacing w:after="60"/>
      </w:pPr>
      <w:r>
        <w:rPr>
          <w:rFonts w:ascii="Calibri" w:cs="Calibri" w:eastAsia="Calibri" w:hAnsi="Calibri"/>
          <w:sz w:val="20"/>
          <w:szCs w:val="20"/>
        </w:rPr>
        <w:t xml:space="preserve">Draft the limitations section (single generator model, single-gold annotation, automated QA generation) — target </w:t>
      </w:r>
      <w:r>
        <w:rPr>
          <w:rFonts w:ascii="Calibri" w:cs="Calibri" w:eastAsia="Calibri" w:hAnsi="Calibri"/>
          <w:sz w:val="20"/>
          <w:szCs w:val="20"/>
          <w:shd w:fill="FFF200" w:color="auto" w:val="clear"/>
        </w:rPr>
        <w:t xml:space="preserve">[DD Mon 2026]</w:t>
      </w:r>
    </w:p>
    <w:p>
      <w:pPr>
        <w:pStyle w:val="ListParagraph"/>
        <w:numPr>
          <w:ilvl w:val="0"/>
          <w:numId w:val="2"/>
        </w:numPr>
        <w:spacing w:after="60"/>
      </w:pPr>
      <w:r>
        <w:rPr>
          <w:rFonts w:ascii="Calibri" w:cs="Calibri" w:eastAsia="Calibri" w:hAnsi="Calibri"/>
          <w:sz w:val="20"/>
          <w:szCs w:val="20"/>
        </w:rPr>
        <w:t xml:space="preserve">Begin the conference paper draft — target </w:t>
      </w:r>
      <w:r>
        <w:rPr>
          <w:rFonts w:ascii="Calibri" w:cs="Calibri" w:eastAsia="Calibri" w:hAnsi="Calibri"/>
          <w:sz w:val="20"/>
          <w:szCs w:val="20"/>
          <w:shd w:fill="FFF200" w:color="auto" w:val="clear"/>
        </w:rPr>
        <w:t xml:space="preserve">[DD Mon 2026]</w:t>
      </w:r>
    </w:p>
    <w:p>
      <w:pPr>
        <w:pStyle w:val="ListParagraph"/>
        <w:numPr>
          <w:ilvl w:val="0"/>
          <w:numId w:val="2"/>
        </w:numPr>
        <w:spacing w:after="60"/>
      </w:pPr>
      <w:r>
        <w:rPr>
          <w:rFonts w:ascii="Calibri" w:cs="Calibri" w:eastAsia="Calibri" w:hAnsi="Calibri"/>
          <w:sz w:val="20"/>
          <w:szCs w:val="20"/>
        </w:rPr>
        <w:t xml:space="preserve">Scope a replication of the context-size finding on a second generator model — target </w:t>
      </w:r>
      <w:r>
        <w:rPr>
          <w:rFonts w:ascii="Calibri" w:cs="Calibri" w:eastAsia="Calibri" w:hAnsi="Calibri"/>
          <w:sz w:val="20"/>
          <w:szCs w:val="20"/>
          <w:shd w:fill="FFF200" w:color="auto" w:val="clear"/>
        </w:rPr>
        <w:t xml:space="preserve">[DD Mon 2026]</w:t>
      </w:r>
    </w:p>
    <w:p>
      <w:pPr>
        <w:spacing w:after="60" w:before="120"/>
      </w:pPr>
      <w:r>
        <w:rPr>
          <w:rFonts w:ascii="Calibri" w:cs="Calibri" w:eastAsia="Calibri" w:hAnsi="Calibri"/>
          <w:b/>
          <w:bCs/>
          <w:sz w:val="20"/>
          <w:szCs w:val="20"/>
        </w:rPr>
        <w:t xml:space="preserve">Issues / Support Required</w:t>
      </w:r>
    </w:p>
    <w:p>
      <w:pPr>
        <w:pStyle w:val="ListParagraph"/>
        <w:numPr>
          <w:ilvl w:val="0"/>
          <w:numId w:val="2"/>
        </w:numPr>
        <w:spacing w:after="60"/>
      </w:pPr>
      <w:r>
        <w:rPr>
          <w:rFonts w:ascii="Calibri" w:cs="Calibri" w:eastAsia="Calibri" w:hAnsi="Calibri"/>
          <w:sz w:val="20"/>
          <w:szCs w:val="20"/>
        </w:rPr>
        <w:t xml:space="preserve">Free-tier API quotas (Groq, Gemini) were exhausted during execution; resolved by migrating generation to Cloudflare Workers AI and running across two accounts. No cost incurred.</w:t>
      </w:r>
    </w:p>
    <w:p>
      <w:pPr>
        <w:pStyle w:val="ListParagraph"/>
        <w:numPr>
          <w:ilvl w:val="0"/>
          <w:numId w:val="2"/>
        </w:numPr>
        <w:spacing w:after="60"/>
      </w:pPr>
      <w:r>
        <w:rPr>
          <w:rFonts w:ascii="Calibri" w:cs="Calibri" w:eastAsia="Calibri" w:hAnsi="Calibri"/>
          <w:sz w:val="20"/>
          <w:szCs w:val="20"/>
        </w:rPr>
        <w:t xml:space="preserve">Proposition-level chunking was deferred because it requires an LLM decomposition pass over the full corpus under the same quota constraint; listed as future work.</w:t>
      </w:r>
    </w:p>
    <w:p>
      <w:pPr>
        <w:pStyle w:val="ListParagraph"/>
        <w:numPr>
          <w:ilvl w:val="0"/>
          <w:numId w:val="2"/>
        </w:numPr>
        <w:spacing w:after="60"/>
      </w:pPr>
      <w:r>
        <w:rPr>
          <w:rFonts w:ascii="Calibri" w:cs="Calibri" w:eastAsia="Calibri" w:hAnsi="Calibri"/>
          <w:sz w:val="20"/>
          <w:szCs w:val="20"/>
        </w:rPr>
        <w:t xml:space="preserve">Guide signature on this form is pending.</w:t>
      </w:r>
    </w:p>
    <w:p>
      <w:r>
        <w:br w:type="page"/>
      </w:r>
    </w:p>
    <w:p>
      <w:pPr>
        <w:pBdr>
          <w:bottom w:val="single" w:color="1E2A47" w:sz="6" w:space="2"/>
        </w:pBdr>
        <w:spacing w:after="100" w:before="200"/>
      </w:pPr>
      <w:r>
        <w:rPr>
          <w:rFonts w:ascii="Calibri" w:cs="Calibri" w:eastAsia="Calibri" w:hAnsi="Calibri"/>
          <w:b/>
          <w:bCs/>
          <w:color w:val="1E2A47"/>
          <w:sz w:val="22"/>
          <w:szCs w:val="22"/>
        </w:rPr>
        <w:t xml:space="preserve">6. GUIDE REVIEW / REMARKS</w:t>
      </w:r>
    </w:p>
    <w:p>
      <w:pPr>
        <w:pStyle w:val="ListParagraph"/>
        <w:numPr>
          <w:ilvl w:val="0"/>
          <w:numId w:val="2"/>
        </w:numPr>
        <w:spacing w:after="120"/>
      </w:pPr>
      <w:r>
        <w:rPr>
          <w:rFonts w:ascii="Calibri" w:cs="Calibri" w:eastAsia="Calibri" w:hAnsi="Calibri"/>
          <w:sz w:val="20"/>
          <w:szCs w:val="20"/>
        </w:rPr>
        <w:t xml:space="preserve"/>
      </w:r>
    </w:p>
    <w:p>
      <w:pPr>
        <w:pStyle w:val="ListParagraph"/>
        <w:numPr>
          <w:ilvl w:val="0"/>
          <w:numId w:val="2"/>
        </w:numPr>
        <w:spacing w:after="120"/>
      </w:pPr>
      <w:r>
        <w:rPr>
          <w:rFonts w:ascii="Calibri" w:cs="Calibri" w:eastAsia="Calibri" w:hAnsi="Calibri"/>
          <w:sz w:val="20"/>
          <w:szCs w:val="20"/>
        </w:rPr>
        <w:t xml:space="preserve"/>
      </w:r>
    </w:p>
    <w:p>
      <w:pPr>
        <w:pStyle w:val="ListParagraph"/>
        <w:numPr>
          <w:ilvl w:val="0"/>
          <w:numId w:val="2"/>
        </w:numPr>
        <w:spacing w:after="120"/>
      </w:pPr>
      <w:r>
        <w:rPr>
          <w:rFonts w:ascii="Calibri" w:cs="Calibri" w:eastAsia="Calibri" w:hAnsi="Calibri"/>
          <w:sz w:val="20"/>
          <w:szCs w:val="20"/>
        </w:rPr>
        <w:t xml:space="preserve"/>
      </w:r>
    </w:p>
    <w:p>
      <w:pPr>
        <w:pStyle w:val="ListParagraph"/>
        <w:numPr>
          <w:ilvl w:val="0"/>
          <w:numId w:val="2"/>
        </w:numPr>
        <w:spacing w:after="120"/>
      </w:pPr>
      <w:r>
        <w:rPr>
          <w:rFonts w:ascii="Calibri" w:cs="Calibri" w:eastAsia="Calibri" w:hAnsi="Calibri"/>
          <w:sz w:val="20"/>
          <w:szCs w:val="20"/>
        </w:rPr>
        <w:t xml:space="preserve"/>
      </w:r>
    </w:p>
    <w:p>
      <w:pPr>
        <w:pStyle w:val="ListParagraph"/>
        <w:numPr>
          <w:ilvl w:val="0"/>
          <w:numId w:val="2"/>
        </w:numPr>
        <w:spacing w:after="120"/>
      </w:pPr>
      <w:r>
        <w:rPr>
          <w:rFonts w:ascii="Calibri" w:cs="Calibri" w:eastAsia="Calibri" w:hAnsi="Calibri"/>
          <w:sz w:val="20"/>
          <w:szCs w:val="20"/>
        </w:rPr>
        <w:t xml:space="preserve"/>
      </w:r>
    </w:p>
    <w:p>
      <w:pPr>
        <w:pStyle w:val="ListParagraph"/>
        <w:numPr>
          <w:ilvl w:val="0"/>
          <w:numId w:val="2"/>
        </w:numPr>
        <w:spacing w:after="120"/>
      </w:pPr>
      <w:r>
        <w:rPr>
          <w:rFonts w:ascii="Calibri" w:cs="Calibri" w:eastAsia="Calibri" w:hAnsi="Calibri"/>
          <w:sz w:val="20"/>
          <w:szCs w:val="20"/>
        </w:rPr>
        <w:t xml:space="preserve"/>
      </w:r>
    </w:p>
    <w:p>
      <w:pPr>
        <w:pStyle w:val="ListParagraph"/>
        <w:numPr>
          <w:ilvl w:val="0"/>
          <w:numId w:val="2"/>
        </w:numPr>
        <w:spacing w:after="120"/>
      </w:pPr>
      <w:r>
        <w:rPr>
          <w:rFonts w:ascii="Calibri" w:cs="Calibri" w:eastAsia="Calibri" w:hAnsi="Calibri"/>
          <w:sz w:val="20"/>
          <w:szCs w:val="20"/>
        </w:rPr>
        <w:t xml:space="preserve"/>
      </w:r>
    </w:p>
    <w:p>
      <w:pPr>
        <w:pStyle w:val="ListParagraph"/>
        <w:numPr>
          <w:ilvl w:val="0"/>
          <w:numId w:val="2"/>
        </w:numPr>
        <w:spacing w:after="120"/>
      </w:pPr>
      <w:r>
        <w:rPr>
          <w:rFonts w:ascii="Calibri" w:cs="Calibri" w:eastAsia="Calibri" w:hAnsi="Calibri"/>
          <w:sz w:val="20"/>
          <w:szCs w:val="20"/>
        </w:rPr>
        <w:t xml:space="preserve"/>
      </w:r>
    </w:p>
    <w:p>
      <w:pPr>
        <w:pBdr>
          <w:bottom w:val="single" w:color="1E2A47" w:sz="6" w:space="2"/>
        </w:pBdr>
        <w:spacing w:after="100" w:before="200"/>
      </w:pPr>
      <w:r>
        <w:rPr>
          <w:rFonts w:ascii="Calibri" w:cs="Calibri" w:eastAsia="Calibri" w:hAnsi="Calibri"/>
          <w:b/>
          <w:bCs/>
          <w:color w:val="1E2A47"/>
          <w:sz w:val="22"/>
          <w:szCs w:val="22"/>
        </w:rPr>
        <w:t xml:space="preserve">7. GUIDE SIGNATURE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Guide Name &amp; Designation</w:t>
            </w:r>
          </w:p>
        </w:tc>
        <w:tc>
          <w:tcPr>
            <w:tcW w:type="dxa" w:w="4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Guide Signature &amp; Date</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Dr. Aswathy Mohan</w:t>
            </w:r>
          </w:p>
          <w:p>
            <w:pPr>
              <w:spacing w:after="0"/>
            </w:pPr>
            <w:r>
              <w:rPr>
                <w:rFonts w:ascii="Calibri" w:cs="Calibri" w:eastAsia="Calibri" w:hAnsi="Calibri"/>
                <w:sz w:val="20"/>
                <w:szCs w:val="20"/>
              </w:rPr>
              <w:t xml:space="preserve">Department of Computer Science, School of Computing, Amritapuri Campus</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80"/>
            </w:pPr>
          </w:p>
          <w:p>
            <w:pPr>
              <w:spacing w:after="80"/>
            </w:pPr>
          </w:p>
          <w:p>
            <w:pPr>
              <w:spacing w:after="80"/>
            </w:pPr>
          </w:p>
        </w:tc>
      </w:tr>
    </w:tbl>
    <w:p>
      <w:pPr>
        <w:pBdr>
          <w:bottom w:val="single" w:color="1E2A47" w:sz="6" w:space="2"/>
        </w:pBdr>
        <w:spacing w:after="100" w:before="200"/>
      </w:pPr>
      <w:r>
        <w:rPr>
          <w:rFonts w:ascii="Calibri" w:cs="Calibri" w:eastAsia="Calibri" w:hAnsi="Calibri"/>
          <w:b/>
          <w:bCs/>
          <w:color w:val="1E2A47"/>
          <w:sz w:val="22"/>
          <w:szCs w:val="22"/>
        </w:rPr>
        <w:t xml:space="preserve">8. STUDENT CONFIRMATION</w:t>
      </w:r>
    </w:p>
    <w:p>
      <w:pPr>
        <w:spacing w:after="160"/>
        <w:jc w:val="both"/>
      </w:pPr>
      <w:r>
        <w:rPr>
          <w:rFonts w:ascii="Calibri" w:cs="Calibri" w:eastAsia="Calibri" w:hAnsi="Calibri"/>
          <w:sz w:val="20"/>
          <w:szCs w:val="20"/>
        </w:rPr>
        <w:t xml:space="preserve">I confirm that this document accurately records the project status and the discussions held with the guide during the S3 progress-review meeting.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Student Signature</w:t>
            </w:r>
          </w:p>
        </w:tc>
        <w:tc>
          <w:tcPr>
            <w:tcW w:type="dxa" w:w="4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Date</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80"/>
            </w:pPr>
          </w:p>
          <w:p>
            <w:pPr>
              <w:spacing w:after="80"/>
            </w:pPr>
          </w:p>
          <w:p>
            <w:pPr>
              <w:spacing w:after="0"/>
            </w:pPr>
            <w:r>
              <w:rPr>
                <w:rFonts w:ascii="Calibri" w:cs="Calibri" w:eastAsia="Calibri" w:hAnsi="Calibri"/>
                <w:sz w:val="20"/>
                <w:szCs w:val="20"/>
              </w:rPr>
              <w:t xml:space="preserve">Akash Ramesh</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80"/>
            </w:pPr>
          </w:p>
          <w:p>
            <w:pPr>
              <w:spacing w:after="80"/>
            </w:pPr>
          </w:p>
          <w:p>
            <w:pPr>
              <w:spacing w:after="80"/>
            </w:pPr>
            <w:r>
              <w:rPr>
                <w:rFonts w:ascii="Calibri" w:cs="Calibri" w:eastAsia="Calibri" w:hAnsi="Calibri"/>
                <w:sz w:val="20"/>
                <w:szCs w:val="20"/>
                <w:shd w:fill="FFF200" w:color="auto" w:val="clear"/>
              </w:rPr>
              <w:t xml:space="preserve">[DD Mon 2026]</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2026-09-14T06:24:03.559Z</dcterms:created>
  <dcterms:modified xsi:type="dcterms:W3CDTF">2026-09-14T06:24:03.560Z</dcterms:modified>
</cp:coreProperties>
</file>

<file path=docProps/custom.xml><?xml version="1.0" encoding="utf-8"?>
<Properties xmlns="http://schemas.openxmlformats.org/officeDocument/2006/custom-properties" xmlns:vt="http://schemas.openxmlformats.org/officeDocument/2006/docPropsVTypes"/>
</file>