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COMPLETE MODEL REPORT — V1 THROUGH V4 + OU NOISE EXTENSION</w:t>
      </w:r>
    </w:p>
    <w:p>
      <w:pPr>
        <w:spacing w:after="80"/>
        <w:jc w:val="center"/>
      </w:pPr>
      <w:r>
        <w:rPr>
          <w:rFonts w:ascii="Arial" w:cs="Arial" w:eastAsia="Arial" w:hAnsi="Arial"/>
          <w:sz w:val="24"/>
          <w:szCs w:val="24"/>
        </w:rPr>
        <w:t xml:space="preserve">Autonomous Reinforcement Learning for Adaptive Resonator Calibration</w:t>
      </w:r>
    </w:p>
    <w:p>
      <w:pPr>
        <w:spacing w:after="240"/>
        <w:jc w:val="center"/>
      </w:pPr>
      <w:r>
        <w:rPr>
          <w:rFonts w:ascii="Arial" w:cs="Arial" w:eastAsia="Arial" w:hAnsi="Arial"/>
          <w:color w:val="595959"/>
          <w:sz w:val="20"/>
          <w:szCs w:val="20"/>
        </w:rPr>
        <w:t xml:space="preserve">Models V1 through V4 — Gaussian and OU Noise — Complete Specifications, Results, and Analysis</w:t>
      </w:r>
    </w:p>
    <w:p>
      <w:pPr>
        <w:pBdr>
          <w:bottom w:val="single" w:color="2E75B6" w:sz="6" w:space="1"/>
        </w:pBdr>
      </w:pPr>
      <w:r>
        <w:t xml:space="preserve"/>
      </w:r>
    </w:p>
    <w:p>
      <w:pPr>
        <w:spacing w:after="80"/>
      </w:pPr>
      <w:r>
        <w:t xml:space="preserve"/>
      </w:r>
    </w:p>
    <w:p>
      <w:pPr>
        <w:pStyle w:val="Heading1"/>
      </w:pPr>
      <w:r>
        <w:rPr>
          <w:rFonts w:ascii="Arial" w:cs="Arial" w:eastAsia="Arial" w:hAnsi="Arial"/>
          <w:b/>
          <w:bCs/>
          <w:color w:val="2E75B6"/>
          <w:sz w:val="32"/>
          <w:szCs w:val="32"/>
        </w:rPr>
        <w:t xml:space="preserve">1. Background: The Control Problem</w:t>
      </w:r>
    </w:p>
    <w:p>
      <w:pPr>
        <w:spacing w:after="120"/>
      </w:pPr>
      <w:r>
        <w:rPr>
          <w:rFonts w:ascii="Arial" w:cs="Arial" w:eastAsia="Arial" w:hAnsi="Arial"/>
          <w:b w:val="false"/>
          <w:bCs w:val="false"/>
          <w:sz w:val="22"/>
          <w:szCs w:val="22"/>
        </w:rPr>
        <w:t xml:space="preserve">The agent controls a single continuous variable — drive frequency — to maximise the amplitude of a drifting LC resonator. The resonator has a Lorentzian response curve: amplitude peaks sharply at the resonant frequency f0 and falls off steeply on both sides. In the Gaussian regime, f0 drifts stochastically each step via a Gaussian random walk with sigma=500 Hz, clipped to ±5% of 500 kHz (475–525 kHz total range). In the OU noise regime, f0 follows an Ornstein-Uhlenbeck process with mean-reversion toward 500 kHz, plus 2% probability spike noise added to each amplitude measurement.</w:t>
      </w:r>
    </w:p>
    <w:p>
      <w:pPr>
        <w:spacing w:after="80"/>
      </w:pPr>
      <w:r>
        <w:t xml:space="preserve"/>
      </w:r>
    </w:p>
    <w:p>
      <w:pPr>
        <w:spacing w:after="120"/>
      </w:pPr>
      <w:r>
        <w:rPr>
          <w:rFonts w:ascii="Arial" w:cs="Arial" w:eastAsia="Arial" w:hAnsi="Arial"/>
          <w:b w:val="false"/>
          <w:bCs w:val="false"/>
          <w:sz w:val="22"/>
          <w:szCs w:val="22"/>
        </w:rPr>
        <w:t xml:space="preserve">The agent must do two things simultaneously: stay near the peak of a curve it cannot directly observe, and follow that peak as it moves unpredictably. It only observes amplitude — not f0 directly. It must infer where the peak is from the shape of the amplitude signal.</w:t>
      </w:r>
    </w:p>
    <w:p>
      <w:pPr>
        <w:spacing w:after="80"/>
      </w:pPr>
      <w:r>
        <w:t xml:space="preserve"/>
      </w:r>
    </w:p>
    <w:p>
      <w:pPr>
        <w:pStyle w:val="Heading2"/>
      </w:pPr>
      <w:r>
        <w:rPr>
          <w:rFonts w:ascii="Arial" w:cs="Arial" w:eastAsia="Arial" w:hAnsi="Arial"/>
          <w:b/>
          <w:bCs/>
          <w:color w:val="1F4E79"/>
          <w:sz w:val="26"/>
          <w:szCs w:val="26"/>
        </w:rPr>
        <w:t xml:space="preserve">1.1 The Three Recurring Failure Modes</w:t>
      </w:r>
    </w:p>
    <w:p>
      <w:pPr>
        <w:pStyle w:val="ListParagraph"/>
        <w:numPr>
          <w:ilvl w:val="0"/>
          <w:numId w:val="2"/>
        </w:numPr>
        <w:spacing w:after="60"/>
      </w:pPr>
      <w:r>
        <w:rPr>
          <w:rFonts w:ascii="Arial" w:cs="Arial" w:eastAsia="Arial" w:hAnsi="Arial"/>
          <w:sz w:val="20"/>
          <w:szCs w:val="20"/>
        </w:rPr>
        <w:t xml:space="preserve">Static lock — agent finds a good frequency and stops moving, ignoring drift</w:t>
      </w:r>
    </w:p>
    <w:p>
      <w:pPr>
        <w:pStyle w:val="ListParagraph"/>
        <w:numPr>
          <w:ilvl w:val="0"/>
          <w:numId w:val="2"/>
        </w:numPr>
        <w:spacing w:after="60"/>
      </w:pPr>
      <w:r>
        <w:rPr>
          <w:rFonts w:ascii="Arial" w:cs="Arial" w:eastAsia="Arial" w:hAnsi="Arial"/>
          <w:sz w:val="20"/>
          <w:szCs w:val="20"/>
        </w:rPr>
        <w:t xml:space="preserve">Overshoot oscillation — agent moves too aggressively, swings past the peak repeatedly</w:t>
      </w:r>
    </w:p>
    <w:p>
      <w:pPr>
        <w:pStyle w:val="ListParagraph"/>
        <w:numPr>
          <w:ilvl w:val="0"/>
          <w:numId w:val="2"/>
        </w:numPr>
        <w:spacing w:after="60"/>
      </w:pPr>
      <w:r>
        <w:rPr>
          <w:rFonts w:ascii="Arial" w:cs="Arial" w:eastAsia="Arial" w:hAnsi="Arial"/>
          <w:sz w:val="20"/>
          <w:szCs w:val="20"/>
        </w:rPr>
        <w:t xml:space="preserve">Gradient blindness — agent cannot reliably determine which direction to move when drift is fast</w:t>
      </w:r>
    </w:p>
    <w:p>
      <w:pPr>
        <w:spacing w:after="80"/>
      </w:pPr>
      <w:r>
        <w:t xml:space="preserve"/>
      </w:r>
    </w:p>
    <w:p>
      <w:pPr>
        <w:spacing w:after="120"/>
      </w:pPr>
      <w:r>
        <w:rPr>
          <w:rFonts w:ascii="Arial" w:cs="Arial" w:eastAsia="Arial" w:hAnsi="Arial"/>
          <w:b w:val="false"/>
          <w:bCs w:val="false"/>
          <w:sz w:val="22"/>
          <w:szCs w:val="22"/>
        </w:rPr>
        <w:t xml:space="preserve">Every version change from V1 to V4 addresses one of these failure modes specifically.</w:t>
      </w:r>
    </w:p>
    <w:p>
      <w:pPr>
        <w:spacing w:after="80"/>
      </w:pPr>
      <w:r>
        <w:t xml:space="preserve"/>
      </w:r>
    </w:p>
    <w:p>
      <w:pPr>
        <w:pStyle w:val="Heading1"/>
      </w:pPr>
      <w:r>
        <w:rPr>
          <w:rFonts w:ascii="Arial" w:cs="Arial" w:eastAsia="Arial" w:hAnsi="Arial"/>
          <w:b/>
          <w:bCs/>
          <w:color w:val="2E75B6"/>
          <w:sz w:val="32"/>
          <w:szCs w:val="32"/>
        </w:rPr>
        <w:t xml:space="preserve">2. V1 — Baseline</w:t>
      </w:r>
    </w:p>
    <w:p>
      <w:pPr>
        <w:pStyle w:val="Heading2"/>
      </w:pPr>
      <w:r>
        <w:rPr>
          <w:rFonts w:ascii="Arial" w:cs="Arial" w:eastAsia="Arial" w:hAnsi="Arial"/>
          <w:b/>
          <w:bCs/>
          <w:color w:val="1F4E79"/>
          <w:sz w:val="26"/>
          <w:szCs w:val="26"/>
        </w:rPr>
        <w:t xml:space="preserve">2.1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Action multiplier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2000 Hz per unit action</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ent_coef</w:t>
            </w:r>
          </w:p>
        </w:tc>
        <w:tc>
          <w:tcPr>
            <w:tcW w:type="dxa" w:w="67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vector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[norm_freq, ema_amp, prev_ema_amp, prev_action]</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timesteps</w:t>
            </w:r>
          </w:p>
        </w:tc>
        <w:tc>
          <w:tcPr>
            <w:tcW w:type="dxa" w:w="67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~20,000 (effective — see root cause)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Network architecture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[256, 256] MLP</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n_envs</w:t>
            </w:r>
          </w:p>
        </w:tc>
        <w:tc>
          <w:tcPr>
            <w:tcW w:type="dxa" w:w="67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 (SubprocVecEnv)</w:t>
            </w:r>
          </w:p>
        </w:tc>
      </w:tr>
    </w:tbl>
    <w:p>
      <w:pPr>
        <w:spacing w:after="80"/>
      </w:pPr>
      <w:r>
        <w:t xml:space="preserve"/>
      </w:r>
    </w:p>
    <w:p>
      <w:pPr>
        <w:pStyle w:val="Heading2"/>
      </w:pPr>
      <w:r>
        <w:rPr>
          <w:rFonts w:ascii="Arial" w:cs="Arial" w:eastAsia="Arial" w:hAnsi="Arial"/>
          <w:b/>
          <w:bCs/>
          <w:color w:val="1F4E79"/>
          <w:sz w:val="26"/>
          <w:szCs w:val="26"/>
        </w:rPr>
        <w:t xml:space="preserve">2.2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5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Near-resonance time (amp &gt; 0.90)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w:t>
            </w:r>
          </w:p>
        </w:tc>
      </w:tr>
      <w:tr>
        <w:tc>
          <w:tcPr>
            <w:tcW w:type="dxa" w:w="41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Low-amplitude tail (amp &lt; 0.70)</w:t>
            </w:r>
          </w:p>
        </w:tc>
        <w:tc>
          <w:tcPr>
            <w:tcW w:type="dxa" w:w="52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behaviour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Parked at static ~502,000 Hz, ignoring drift</w:t>
            </w:r>
          </w:p>
        </w:tc>
      </w:tr>
    </w:tbl>
    <w:p>
      <w:pPr>
        <w:spacing w:after="80"/>
      </w:pPr>
      <w:r>
        <w:t xml:space="preserve"/>
      </w:r>
    </w:p>
    <w:p>
      <w:pPr>
        <w:pStyle w:val="Heading2"/>
      </w:pPr>
      <w:r>
        <w:rPr>
          <w:rFonts w:ascii="Arial" w:cs="Arial" w:eastAsia="Arial" w:hAnsi="Arial"/>
          <w:b/>
          <w:bCs/>
          <w:color w:val="1F4E79"/>
          <w:sz w:val="26"/>
          <w:szCs w:val="26"/>
        </w:rPr>
        <w:t xml:space="preserve">2.3 Root Cause Analysis</w:t>
      </w:r>
    </w:p>
    <w:p>
      <w:pPr>
        <w:spacing w:after="120"/>
      </w:pPr>
      <w:r>
        <w:rPr>
          <w:rFonts w:ascii="Arial" w:cs="Arial" w:eastAsia="Arial" w:hAnsi="Arial"/>
          <w:b w:val="false"/>
          <w:bCs w:val="false"/>
          <w:sz w:val="22"/>
          <w:szCs w:val="22"/>
        </w:rPr>
        <w:t xml:space="preserve">V1 failed due to insufficient training, not a flawed architecture. With n_steps=4096 and n_envs=16, each PPO update cycle collects 65,536 transitions. At 20,000 total timesteps, the model completed only 9 gradient update steps — nowhere near enough for a policy to learn anything meaningful. The agent discovered early that sitting near 500,000 Hz produced reasonable amplitude rewards, and the gradient SNR was below 1.0. The action multiplier of 2000 Hz/step also contributed: the agent needed 25 consecutive maximum-action steps to traverse the full range — a significant mismatch.</w:t>
      </w:r>
    </w:p>
    <w:p>
      <w:pPr>
        <w:spacing w:after="80"/>
      </w:pPr>
      <w:r>
        <w:t xml:space="preserve"/>
      </w:r>
    </w:p>
    <w:p>
      <w:pPr>
        <w:pStyle w:val="Heading1"/>
      </w:pPr>
      <w:r>
        <w:rPr>
          <w:rFonts w:ascii="Arial" w:cs="Arial" w:eastAsia="Arial" w:hAnsi="Arial"/>
          <w:b/>
          <w:bCs/>
          <w:color w:val="2E75B6"/>
          <w:sz w:val="32"/>
          <w:szCs w:val="32"/>
        </w:rPr>
        <w:t xml:space="preserve">3. V2 — First Patch</w:t>
      </w:r>
    </w:p>
    <w:p>
      <w:pPr>
        <w:pStyle w:val="Heading2"/>
      </w:pPr>
      <w:r>
        <w:rPr>
          <w:rFonts w:ascii="Arial" w:cs="Arial" w:eastAsia="Arial" w:hAnsi="Arial"/>
          <w:b/>
          <w:bCs/>
          <w:color w:val="1F4E79"/>
          <w:sz w:val="26"/>
          <w:szCs w:val="26"/>
        </w:rPr>
        <w:t xml:space="preserve">3.1 What Changed and Why</w:t>
      </w:r>
    </w:p>
    <w:p>
      <w:pPr>
        <w:spacing w:after="120"/>
      </w:pPr>
      <w:r>
        <w:rPr>
          <w:rFonts w:ascii="Arial" w:cs="Arial" w:eastAsia="Arial" w:hAnsi="Arial"/>
          <w:b w:val="false"/>
          <w:bCs w:val="false"/>
          <w:sz w:val="22"/>
          <w:szCs w:val="22"/>
        </w:rPr>
        <w:t xml:space="preserve">Action multiplier 2000 → 5000 Hz: allowed the agent to outrun drift comfortably. ent_coef 0.01 → 0.005: encouraged faster policy convergence. Both changes correctly addressed V1's core limitations.</w:t>
      </w:r>
    </w:p>
    <w:p>
      <w:pPr>
        <w:spacing w:after="80"/>
      </w:pPr>
      <w:r>
        <w:t xml:space="preserve"/>
      </w:r>
    </w:p>
    <w:p>
      <w:pPr>
        <w:pStyle w:val="Heading2"/>
      </w:pPr>
      <w:r>
        <w:rPr>
          <w:rFonts w:ascii="Arial" w:cs="Arial" w:eastAsia="Arial" w:hAnsi="Arial"/>
          <w:b/>
          <w:bCs/>
          <w:color w:val="1F4E79"/>
          <w:sz w:val="26"/>
          <w:szCs w:val="26"/>
        </w:rPr>
        <w:t xml:space="preserve">3.2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5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Near-resonance time (amp &gt; 0.90)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~60–65%</w:t>
            </w:r>
          </w:p>
        </w:tc>
      </w:tr>
      <w:tr>
        <w:tc>
          <w:tcPr>
            <w:tcW w:type="dxa" w:w="41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Low-amplitude tail (amp &lt; 0.70)</w:t>
            </w:r>
          </w:p>
        </w:tc>
        <w:tc>
          <w:tcPr>
            <w:tcW w:type="dxa" w:w="52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~8–10%</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Oscillation magnitude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±8,500 Hz around resonance</w:t>
            </w:r>
          </w:p>
        </w:tc>
      </w:tr>
      <w:tr>
        <w:tc>
          <w:tcPr>
            <w:tcW w:type="dxa" w:w="41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behaviour</w:t>
            </w:r>
          </w:p>
        </w:tc>
        <w:tc>
          <w:tcPr>
            <w:tcW w:type="dxa" w:w="52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Active tracking with severe overshoot oscillations</w:t>
            </w:r>
          </w:p>
        </w:tc>
      </w:tr>
    </w:tbl>
    <w:p>
      <w:pPr>
        <w:spacing w:after="80"/>
      </w:pPr>
      <w:r>
        <w:t xml:space="preserve"/>
      </w:r>
    </w:p>
    <w:p>
      <w:pPr>
        <w:pStyle w:val="Heading2"/>
      </w:pPr>
      <w:r>
        <w:rPr>
          <w:rFonts w:ascii="Arial" w:cs="Arial" w:eastAsia="Arial" w:hAnsi="Arial"/>
          <w:b/>
          <w:bCs/>
          <w:color w:val="1F4E79"/>
          <w:sz w:val="26"/>
          <w:szCs w:val="26"/>
        </w:rPr>
        <w:t xml:space="preserve">3.3 Root Cause Analysis</w:t>
      </w:r>
    </w:p>
    <w:p>
      <w:pPr>
        <w:spacing w:after="120"/>
      </w:pPr>
      <w:r>
        <w:rPr>
          <w:rFonts w:ascii="Arial" w:cs="Arial" w:eastAsia="Arial" w:hAnsi="Arial"/>
          <w:b w:val="false"/>
          <w:bCs w:val="false"/>
          <w:sz w:val="22"/>
          <w:szCs w:val="22"/>
        </w:rPr>
        <w:t xml:space="preserve">V2 learned to track for the first time. However the 5000 Hz/step action multiplier was too large — a single maximum action spanned half the Lorentzian -3dB bandwidth (10,000 Hz at Q=50). The agent consistently overshot, causing ±8,500 Hz oscillations. The policy converged to an oscillatory limit cycle, not stable lock.</w:t>
      </w:r>
    </w:p>
    <w:p>
      <w:pPr>
        <w:spacing w:after="80"/>
      </w:pPr>
      <w:r>
        <w:t xml:space="preserve"/>
      </w:r>
    </w:p>
    <w:p>
      <w:pPr>
        <w:pStyle w:val="Heading1"/>
      </w:pPr>
      <w:r>
        <w:rPr>
          <w:rFonts w:ascii="Arial" w:cs="Arial" w:eastAsia="Arial" w:hAnsi="Arial"/>
          <w:b/>
          <w:bCs/>
          <w:color w:val="2E75B6"/>
          <w:sz w:val="32"/>
          <w:szCs w:val="32"/>
        </w:rPr>
        <w:t xml:space="preserve">4. V3 — Simulation Baseline (Gaussian, Final)</w:t>
      </w:r>
    </w:p>
    <w:p>
      <w:pPr>
        <w:pStyle w:val="Heading2"/>
      </w:pPr>
      <w:r>
        <w:rPr>
          <w:rFonts w:ascii="Arial" w:cs="Arial" w:eastAsia="Arial" w:hAnsi="Arial"/>
          <w:b/>
          <w:bCs/>
          <w:color w:val="1F4E79"/>
          <w:sz w:val="26"/>
          <w:szCs w:val="26"/>
        </w:rPr>
        <w:t xml:space="preserve">4.1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Action multiplier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3000 Hz per unit action</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vector</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[norm_freq, ema_amp, prev_ema_amp, prev_action] — 4 elements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 alpha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0.3</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Reward function</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ema_amp + 0.5*(delta_amp)*sign(action) - 0.01*|action|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Soft penalty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0.02 &lt; amp &lt; 0.15: -(0.15 - amp) * 2.0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Hard termination</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consecutive steps ema_amp &lt; 0.02, -5.0 reward penalty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timesteps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2,000,000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Curriculum</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drift_sigma anneals 100 → 500 Hz over first 750,000 steps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 minutes on RTX 3050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Peak VRAM</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21.4 MB</w:t>
            </w:r>
          </w:p>
        </w:tc>
      </w:tr>
    </w:tbl>
    <w:p>
      <w:pPr>
        <w:spacing w:after="80"/>
      </w:pPr>
      <w:r>
        <w:t xml:space="preserve"/>
      </w:r>
    </w:p>
    <w:p>
      <w:pPr>
        <w:pStyle w:val="Heading2"/>
      </w:pPr>
      <w:r>
        <w:rPr>
          <w:rFonts w:ascii="Arial" w:cs="Arial" w:eastAsia="Arial" w:hAnsi="Arial"/>
          <w:b/>
          <w:bCs/>
          <w:color w:val="1F4E79"/>
          <w:sz w:val="26"/>
          <w:szCs w:val="26"/>
        </w:rPr>
        <w:t xml:space="preserve">4.2 What Changed from V2 and Why</w:t>
      </w:r>
    </w:p>
    <w:p>
      <w:pPr>
        <w:spacing w:after="120"/>
      </w:pPr>
      <w:r>
        <w:rPr>
          <w:rFonts w:ascii="Arial" w:cs="Arial" w:eastAsia="Arial" w:hAnsi="Arial"/>
          <w:b w:val="false"/>
          <w:bCs w:val="false"/>
          <w:sz w:val="22"/>
          <w:szCs w:val="22"/>
        </w:rPr>
        <w:t xml:space="preserve">Action multiplier 5000 → 3000 Hz: 3000 Hz/step is 30% of the -3dB bandwidth, allowing the agent to close on the peak within 3–4 steps without overshooting. An 8-finding environment audit resolved all known bugs in the reward function, EMA filter, observation bounds, and termination logic. The gradient-climbing bonus term explicitly rewards directional improvement rather than just static amplitude.</w:t>
      </w:r>
    </w:p>
    <w:p>
      <w:pPr>
        <w:spacing w:after="80"/>
      </w:pPr>
      <w:r>
        <w:t xml:space="preserve"/>
      </w:r>
    </w:p>
    <w:p>
      <w:pPr>
        <w:pStyle w:val="Heading2"/>
      </w:pPr>
      <w:r>
        <w:rPr>
          <w:rFonts w:ascii="Arial" w:cs="Arial" w:eastAsia="Arial" w:hAnsi="Arial"/>
          <w:b/>
          <w:bCs/>
          <w:color w:val="1F4E79"/>
          <w:sz w:val="26"/>
          <w:szCs w:val="26"/>
        </w:rPr>
        <w:t xml:space="preserve">4.3 Measured Results (Authoritative — 1000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MAE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3333 ± 1932 Hz</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Reward</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174.3 ± 20.2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&gt; 0.90 (near-resonance)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64.5% of timesteps</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&lt; 0.70 (low-amplitude tail)</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13.4% of timesteps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Noise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drift, sigma=500 Hz, random walk</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Evaluation protocol</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episodes, deterministic policy, 1 run</w:t>
            </w:r>
          </w:p>
        </w:tc>
      </w:tr>
    </w:tbl>
    <w:p>
      <w:pPr>
        <w:spacing w:after="80"/>
      </w:pPr>
      <w:r>
        <w:t xml:space="preserve"/>
      </w:r>
    </w:p>
    <w:p>
      <w:pPr>
        <w:pStyle w:val="Heading2"/>
      </w:pPr>
      <w:r>
        <w:rPr>
          <w:rFonts w:ascii="Arial" w:cs="Arial" w:eastAsia="Arial" w:hAnsi="Arial"/>
          <w:b/>
          <w:bCs/>
          <w:color w:val="1F4E79"/>
          <w:sz w:val="26"/>
          <w:szCs w:val="26"/>
        </w:rPr>
        <w:t xml:space="preserve">4.4 Root Cause Analysis</w:t>
      </w:r>
    </w:p>
    <w:p>
      <w:pPr>
        <w:spacing w:after="120"/>
      </w:pPr>
      <w:r>
        <w:rPr>
          <w:rFonts w:ascii="Arial" w:cs="Arial" w:eastAsia="Arial" w:hAnsi="Arial"/>
          <w:b w:val="false"/>
          <w:bCs w:val="false"/>
          <w:sz w:val="22"/>
          <w:szCs w:val="22"/>
        </w:rPr>
        <w:t xml:space="preserve">V3 eliminated oscillatory behaviour. The 3333 ± 1932 Hz MAE reveals the remaining limitation: the standard deviation is 58% of the mean, indicating high episode-to-episode variability. The root cause is gradient blindness. The state vector gives the agent [ema_amp, prev_ema_amp] to infer gradient direction, but this comparison is corrupted by the simultaneous effects of the agent's own frequency movement and the resonator's stochastic drift. During fast drift these two effects are entangled and the agent's implicit gradient estimate degrades to noise, causing loss of lock.</w:t>
      </w:r>
    </w:p>
    <w:p>
      <w:pPr>
        <w:spacing w:after="80"/>
      </w:pPr>
      <w:r>
        <w:t xml:space="preserve"/>
      </w:r>
    </w:p>
    <w:p>
      <w:pPr>
        <w:pStyle w:val="Heading1"/>
      </w:pPr>
      <w:r>
        <w:rPr>
          <w:rFonts w:ascii="Arial" w:cs="Arial" w:eastAsia="Arial" w:hAnsi="Arial"/>
          <w:b/>
          <w:bCs/>
          <w:color w:val="2E75B6"/>
          <w:sz w:val="32"/>
          <w:szCs w:val="32"/>
        </w:rPr>
        <w:t xml:space="preserve">5. V4 — Gradient-Augmented Observation Space (Gaussian)</w:t>
      </w:r>
    </w:p>
    <w:p>
      <w:pPr>
        <w:pStyle w:val="Heading2"/>
      </w:pPr>
      <w:r>
        <w:rPr>
          <w:rFonts w:ascii="Arial" w:cs="Arial" w:eastAsia="Arial" w:hAnsi="Arial"/>
          <w:b/>
          <w:bCs/>
          <w:color w:val="1F4E79"/>
          <w:sz w:val="26"/>
          <w:szCs w:val="26"/>
        </w:rPr>
        <w:t xml:space="preserve">5.1 The Single Architectural Change</w:t>
      </w:r>
    </w:p>
    <w:p>
      <w:pPr>
        <w:spacing w:after="120"/>
      </w:pPr>
      <w:r>
        <w:rPr>
          <w:rFonts w:ascii="Arial" w:cs="Arial" w:eastAsia="Arial" w:hAnsi="Arial"/>
          <w:b w:val="false"/>
          <w:bCs w:val="false"/>
          <w:sz w:val="22"/>
          <w:szCs w:val="22"/>
        </w:rPr>
        <w:t xml:space="preserve">V4 makes exactly one change to V3: it adds a fifth observation element — an explicit finite-difference amplitude gradient estimate computed as clip(delta_amp * 3000.0 / (delta_freq + 1.0), -1.0, 1.0). The epsilon +1.0 in the denominator prevents division by zero when action is zero. Everything else — reward, termination, EMA, action space, network, hyperparameters — is byte-for-byte identical to V3. This is what makes the comparison scientifically valid.</w:t>
      </w:r>
    </w:p>
    <w:p>
      <w:pPr>
        <w:spacing w:after="80"/>
      </w:pPr>
      <w:r>
        <w:t xml:space="preserve"/>
      </w:r>
    </w:p>
    <w:p>
      <w:pPr>
        <w:spacing w:after="120"/>
      </w:pPr>
      <w:r>
        <w:rPr>
          <w:rFonts w:ascii="Arial" w:cs="Arial" w:eastAsia="Arial" w:hAnsi="Arial"/>
          <w:b w:val="false"/>
          <w:bCs w:val="false"/>
          <w:sz w:val="22"/>
          <w:szCs w:val="22"/>
        </w:rPr>
        <w:t xml:space="preserve">The gradient directly answers: when you moved in that direction, did amplitude go up or down? The agent now has a direct readout of the local Lorentzian gradient rather than having to infer it from a noisy coupled signal. This is the mechanistic explanation for all observed improvements.</w:t>
      </w:r>
    </w:p>
    <w:p>
      <w:pPr>
        <w:spacing w:after="80"/>
      </w:pPr>
      <w:r>
        <w:t xml:space="preserve"/>
      </w:r>
    </w:p>
    <w:p>
      <w:pPr>
        <w:pStyle w:val="Heading2"/>
      </w:pPr>
      <w:r>
        <w:rPr>
          <w:rFonts w:ascii="Arial" w:cs="Arial" w:eastAsia="Arial" w:hAnsi="Arial"/>
          <w:b/>
          <w:bCs/>
          <w:color w:val="1F4E79"/>
          <w:sz w:val="26"/>
          <w:szCs w:val="26"/>
        </w:rPr>
        <w:t xml:space="preserve">5.2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vector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[norm_freq, ema_amp, prev_ema_amp, prev_action, amp_gradient] — 5 elements</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Gradient computation</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clip(delta_amp * 3000.0 / (delta_freq + 1.0), -1.0, 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other parameters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Identical to V3</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Seeds trained</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independent seeds (0–4)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time per seed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~35–48 minutes on RTX 3050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Peak VRAM per seed</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21.4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Noise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drift, sigma=500 Hz, random walk</w:t>
            </w:r>
          </w:p>
        </w:tc>
      </w:tr>
    </w:tbl>
    <w:p>
      <w:pPr>
        <w:spacing w:after="80"/>
      </w:pPr>
      <w:r>
        <w:t xml:space="preserve"/>
      </w:r>
    </w:p>
    <w:p>
      <w:pPr>
        <w:pStyle w:val="Heading2"/>
      </w:pPr>
      <w:r>
        <w:rPr>
          <w:rFonts w:ascii="Arial" w:cs="Arial" w:eastAsia="Arial" w:hAnsi="Arial"/>
          <w:b/>
          <w:bCs/>
          <w:color w:val="1F4E79"/>
          <w:sz w:val="26"/>
          <w:szCs w:val="26"/>
        </w:rPr>
        <w:t xml:space="preserve">5.3 Per-Seed Results (1000 Episodes Each —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456"/>
        <w:gridCol w:w="1456"/>
        <w:gridCol w:w="1456"/>
        <w:gridCol w:w="1456"/>
        <w:gridCol w:w="1456"/>
        <w:gridCol w:w="1040"/>
      </w:tblGrid>
      <w:tr>
        <w:trPr>
          <w:tblHeader/>
        </w:trPr>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Seed</w:t>
            </w:r>
          </w:p>
        </w:tc>
        <w:tc>
          <w:tcPr>
            <w:tcW w:type="dxa" w:w="145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(Hz)</w:t>
            </w:r>
          </w:p>
        </w:tc>
        <w:tc>
          <w:tcPr>
            <w:tcW w:type="dxa" w:w="145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Std</w:t>
            </w:r>
          </w:p>
        </w:tc>
        <w:tc>
          <w:tcPr>
            <w:tcW w:type="dxa" w:w="145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Reward</w:t>
            </w:r>
          </w:p>
        </w:tc>
        <w:tc>
          <w:tcPr>
            <w:tcW w:type="dxa" w:w="145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 Std</w:t>
            </w:r>
          </w:p>
        </w:tc>
        <w:tc>
          <w:tcPr>
            <w:tcW w:type="dxa" w:w="145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&gt;0.90</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&lt;0.70</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2288</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1702</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184.5</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17.3</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85.0%</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w:t>
            </w:r>
          </w:p>
        </w:tc>
      </w:tr>
      <w:tr>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1731</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780</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190.2</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2608</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2010</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181.4</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20.3</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78.9%</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w:t>
            </w:r>
          </w:p>
        </w:tc>
      </w:tr>
      <w:tr>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(BEST)</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1510</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367</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192.5</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94.8%</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w:t>
            </w:r>
          </w:p>
        </w:tc>
      </w:tr>
      <w:tr>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2887</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1844</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178.9</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18.7</w:t>
            </w:r>
          </w:p>
        </w:tc>
        <w:tc>
          <w:tcPr>
            <w:tcW w:type="dxa" w:w="14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74.3%</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w:t>
            </w:r>
          </w:p>
        </w:tc>
      </w:tr>
      <w:tr>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Aggregate</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2205</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518</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185.5</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w:t>
            </w:r>
          </w:p>
        </w:tc>
        <w:tc>
          <w:tcPr>
            <w:tcW w:type="dxa" w:w="1456"/>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84.8%±7.6%</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5.1%±3.7%</w:t>
            </w:r>
          </w:p>
        </w:tc>
      </w:tr>
    </w:tbl>
    <w:p>
      <w:pPr>
        <w:spacing w:after="80"/>
      </w:pPr>
      <w:r>
        <w:t xml:space="preserve"/>
      </w:r>
    </w:p>
    <w:p>
      <w:pPr>
        <w:pStyle w:val="Heading2"/>
      </w:pPr>
      <w:r>
        <w:rPr>
          <w:rFonts w:ascii="Arial" w:cs="Arial" w:eastAsia="Arial" w:hAnsi="Arial"/>
          <w:b/>
          <w:bCs/>
          <w:color w:val="1F4E79"/>
          <w:sz w:val="26"/>
          <w:szCs w:val="26"/>
        </w:rPr>
        <w:t xml:space="preserve">5.4 V3 vs V4 Gaussian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560"/>
        <w:gridCol w:w="104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V3</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V4 Mean</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V4 Std</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MAE (Hz)</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3333 ± 1932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518</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Reward</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174.3 ± 20.2</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185.5</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&gt; 0.90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+20.3 pp</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&lt; 0.70</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13.4%</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Reward std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-75%</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Mann-Whitney U p-value</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&lt; 0.001</w:t>
            </w:r>
          </w:p>
        </w:tc>
      </w:tr>
    </w:tbl>
    <w:p>
      <w:pPr>
        <w:spacing w:after="80"/>
      </w:pPr>
      <w:r>
        <w:t xml:space="preserve"/>
      </w:r>
    </w:p>
    <w:p>
      <w:pPr>
        <w:pStyle w:val="Heading2"/>
      </w:pPr>
      <w:r>
        <w:rPr>
          <w:rFonts w:ascii="Arial" w:cs="Arial" w:eastAsia="Arial" w:hAnsi="Arial"/>
          <w:b/>
          <w:bCs/>
          <w:color w:val="1F4E79"/>
          <w:sz w:val="26"/>
          <w:szCs w:val="26"/>
        </w:rPr>
        <w:t xml:space="preserve">5.5 Seed-by-Seed Analysis</w:t>
      </w:r>
    </w:p>
    <w:p>
      <w:pPr>
        <w:pStyle w:val="Heading3"/>
      </w:pPr>
      <w:r>
        <w:rPr>
          <w:rFonts w:ascii="Arial" w:cs="Arial" w:eastAsia="Arial" w:hAnsi="Arial"/>
          <w:b/>
          <w:bCs/>
          <w:color w:val="2E75B6"/>
          <w:sz w:val="22"/>
          <w:szCs w:val="22"/>
        </w:rPr>
        <w:t xml:space="preserve">Seed 3 — Best Overall (Recommended for Hardware Deployment)</w:t>
      </w:r>
    </w:p>
    <w:p>
      <w:pPr>
        <w:spacing w:after="120"/>
      </w:pPr>
      <w:r>
        <w:rPr>
          <w:rFonts w:ascii="Arial" w:cs="Arial" w:eastAsia="Arial" w:hAnsi="Arial"/>
          <w:b w:val="false"/>
          <w:bCs w:val="false"/>
          <w:sz w:val="22"/>
          <w:szCs w:val="22"/>
        </w:rPr>
        <w:t xml:space="preserve">MAE 1510 ± 367 Hz — lowest mean and tightest standard deviation of any seed. Near-resonance time 94.8%. Low-amplitude tail 0.4% — essentially zero. Reward std of 2.7 is extremely tight. Best model at 2,000,000 steps — still improving at training end. Use seed 3 for all hardware deployment.</w:t>
      </w:r>
    </w:p>
    <w:p>
      <w:pPr>
        <w:spacing w:after="80"/>
      </w:pPr>
      <w:r>
        <w:t xml:space="preserve"/>
      </w:r>
    </w:p>
    <w:p>
      <w:pPr>
        <w:pStyle w:val="Heading3"/>
      </w:pPr>
      <w:r>
        <w:rPr>
          <w:rFonts w:ascii="Arial" w:cs="Arial" w:eastAsia="Arial" w:hAnsi="Arial"/>
          <w:b/>
          <w:bCs/>
          <w:color w:val="2E75B6"/>
          <w:sz w:val="22"/>
          <w:szCs w:val="22"/>
        </w:rPr>
        <w:t xml:space="preserve">Seed 1 — High Performance</w:t>
      </w:r>
    </w:p>
    <w:p>
      <w:pPr>
        <w:spacing w:after="120"/>
      </w:pPr>
      <w:r>
        <w:rPr>
          <w:rFonts w:ascii="Arial" w:cs="Arial" w:eastAsia="Arial" w:hAnsi="Arial"/>
          <w:b w:val="false"/>
          <w:bCs w:val="false"/>
          <w:sz w:val="22"/>
          <w:szCs w:val="22"/>
        </w:rPr>
        <w:t xml:space="preserve">Low-amplitude tail of 1.3% — near zero. Reward std of 7.0, MAE std of 780 Hz. Highly consistent policy. This seed found a policy manifold where the gradient signal is used most effectively.</w:t>
      </w:r>
    </w:p>
    <w:p>
      <w:pPr>
        <w:spacing w:after="80"/>
      </w:pPr>
      <w:r>
        <w:t xml:space="preserve"/>
      </w:r>
    </w:p>
    <w:p>
      <w:pPr>
        <w:pStyle w:val="Heading3"/>
      </w:pPr>
      <w:r>
        <w:rPr>
          <w:rFonts w:ascii="Arial" w:cs="Arial" w:eastAsia="Arial" w:hAnsi="Arial"/>
          <w:b/>
          <w:bCs/>
          <w:color w:val="2E75B6"/>
          <w:sz w:val="22"/>
          <w:szCs w:val="22"/>
        </w:rPr>
        <w:t xml:space="preserve">Seed 0 — Median Performance</w:t>
      </w:r>
    </w:p>
    <w:p>
      <w:pPr>
        <w:spacing w:after="120"/>
      </w:pPr>
      <w:r>
        <w:rPr>
          <w:rFonts w:ascii="Arial" w:cs="Arial" w:eastAsia="Arial" w:hAnsi="Arial"/>
          <w:b w:val="false"/>
          <w:bCs w:val="false"/>
          <w:sz w:val="22"/>
          <w:szCs w:val="22"/>
        </w:rPr>
        <w:t xml:space="preserve">Near-resonance time 85%, low tail 5.8%. Reward std 17.3 indicates some episode variability. Represents the median V4 performance level.</w:t>
      </w:r>
    </w:p>
    <w:p>
      <w:pPr>
        <w:spacing w:after="80"/>
      </w:pPr>
      <w:r>
        <w:t xml:space="preserve"/>
      </w:r>
    </w:p>
    <w:p>
      <w:pPr>
        <w:pStyle w:val="Heading3"/>
      </w:pPr>
      <w:r>
        <w:rPr>
          <w:rFonts w:ascii="Arial" w:cs="Arial" w:eastAsia="Arial" w:hAnsi="Arial"/>
          <w:b/>
          <w:bCs/>
          <w:color w:val="2E75B6"/>
          <w:sz w:val="22"/>
          <w:szCs w:val="22"/>
        </w:rPr>
        <w:t xml:space="preserve">Seeds 2 and 4 — Weakest Results</w:t>
      </w:r>
    </w:p>
    <w:p>
      <w:pPr>
        <w:spacing w:after="120"/>
      </w:pPr>
      <w:r>
        <w:rPr>
          <w:rFonts w:ascii="Arial" w:cs="Arial" w:eastAsia="Arial" w:hAnsi="Arial"/>
          <w:b w:val="false"/>
          <w:bCs w:val="false"/>
          <w:sz w:val="22"/>
          <w:szCs w:val="22"/>
        </w:rPr>
        <w:t xml:space="preserve">Near-resonance times 78.9% and 74.3% respectively. Both still outperform V3 on every single metric, confirming the improvement is consistent across all initialisations, not a lucky result. Illustrates natural seed variance in PPO — the policy landscape has multiple basins of attraction.</w:t>
      </w:r>
    </w:p>
    <w:p>
      <w:pPr>
        <w:spacing w:after="80"/>
      </w:pPr>
      <w:r>
        <w:t xml:space="preserve"/>
      </w:r>
    </w:p>
    <w:p>
      <w:pPr>
        <w:pStyle w:val="Heading1"/>
      </w:pPr>
      <w:r>
        <w:rPr>
          <w:rFonts w:ascii="Arial" w:cs="Arial" w:eastAsia="Arial" w:hAnsi="Arial"/>
          <w:b/>
          <w:bCs/>
          <w:color w:val="2E75B6"/>
          <w:sz w:val="32"/>
          <w:szCs w:val="32"/>
        </w:rPr>
        <w:t xml:space="preserve">6. V3 — OU Noise Baseline</w:t>
      </w:r>
    </w:p>
    <w:p>
      <w:pPr>
        <w:pStyle w:val="Heading2"/>
      </w:pPr>
      <w:r>
        <w:rPr>
          <w:rFonts w:ascii="Arial" w:cs="Arial" w:eastAsia="Arial" w:hAnsi="Arial"/>
          <w:b/>
          <w:bCs/>
          <w:color w:val="1F4E79"/>
          <w:sz w:val="26"/>
          <w:szCs w:val="26"/>
        </w:rPr>
        <w:t xml:space="preserve">6.1 The OU Noise Model</w:t>
      </w:r>
    </w:p>
    <w:p>
      <w:pPr>
        <w:spacing w:after="120"/>
      </w:pPr>
      <w:r>
        <w:rPr>
          <w:rFonts w:ascii="Arial" w:cs="Arial" w:eastAsia="Arial" w:hAnsi="Arial"/>
          <w:b w:val="false"/>
          <w:bCs w:val="false"/>
          <w:sz w:val="22"/>
          <w:szCs w:val="22"/>
        </w:rPr>
        <w:t xml:space="preserve">The Ornstein-Uhlenbeck process replaces the Gaussian random walk for f0 drift: f0 += theta*(mu - f0)*dt + sigma*N(0,1), with theta=0.05, mu=500,000 Hz, dt=1.0. This is mean-reverting — the resonator tends to drift back toward 500 kHz rather than executing an unbounded random walk. Additionally, a 2% per-step probability spike is added to the amplitude measurement: amplitude += uniform(-0.10, +0.10) with 2% probability. This models real measurement artifacts — switching noise, ADC glitches.</w:t>
      </w:r>
    </w:p>
    <w:p>
      <w:pPr>
        <w:spacing w:after="80"/>
      </w:pPr>
      <w:r>
        <w:t xml:space="preserve"/>
      </w:r>
    </w:p>
    <w:p>
      <w:pPr>
        <w:spacing w:after="120"/>
      </w:pPr>
      <w:r>
        <w:rPr>
          <w:rFonts w:ascii="Arial" w:cs="Arial" w:eastAsia="Arial" w:hAnsi="Arial"/>
          <w:b w:val="false"/>
          <w:bCs w:val="false"/>
          <w:sz w:val="22"/>
          <w:szCs w:val="22"/>
        </w:rPr>
        <w:t xml:space="preserve">The OU model is more physically realistic than Gaussian drift. Real LC resonators do not execute random walks — they drift smoothly under thermal effects and tend to return toward their nominal frequency. The spike noise models transient measurement corruption that occurs in real analog circuits.</w:t>
      </w:r>
    </w:p>
    <w:p>
      <w:pPr>
        <w:spacing w:after="80"/>
      </w:pPr>
      <w:r>
        <w:t xml:space="preserve"/>
      </w:r>
    </w:p>
    <w:p>
      <w:pPr>
        <w:pStyle w:val="Heading2"/>
      </w:pPr>
      <w:r>
        <w:rPr>
          <w:rFonts w:ascii="Arial" w:cs="Arial" w:eastAsia="Arial" w:hAnsi="Arial"/>
          <w:b/>
          <w:bCs/>
          <w:color w:val="1F4E79"/>
          <w:sz w:val="26"/>
          <w:szCs w:val="26"/>
        </w:rPr>
        <w:t xml:space="preserve">6.2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vector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[norm_freq, ema_amp, prev_ema_amp, prev_action] — 4 elements</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Drift model</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Ornstein-Uhlenbeck: theta=0.05, mu=500,000 Hz, dt=1.0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Spike noise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probability per step, amplitude += uniform(-0.10, +0.10)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other parameters</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Identical to V3 Gaussian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Seeds trained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seed (seed 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time</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55m 22s on RTX 3050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Peak VRAM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21.4 MB</w:t>
            </w:r>
          </w:p>
        </w:tc>
      </w:tr>
    </w:tbl>
    <w:p>
      <w:pPr>
        <w:spacing w:after="80"/>
      </w:pPr>
      <w:r>
        <w:t xml:space="preserve"/>
      </w:r>
    </w:p>
    <w:p>
      <w:pPr>
        <w:pStyle w:val="Heading2"/>
      </w:pPr>
      <w:r>
        <w:rPr>
          <w:rFonts w:ascii="Arial" w:cs="Arial" w:eastAsia="Arial" w:hAnsi="Arial"/>
          <w:b/>
          <w:bCs/>
          <w:color w:val="1F4E79"/>
          <w:sz w:val="26"/>
          <w:szCs w:val="26"/>
        </w:rPr>
        <w:t xml:space="preserve">6.3 Measured Results (Authoritative — 1000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46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MAE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1241 ± 254 Hz</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Reward</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194.7 ±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&gt; 0.90 (near-resonance)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97.7% of timesteps</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&lt; 0.70 (low-amplitude tail)</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 of timesteps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Noise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 drift + 2% spike noise</w:t>
            </w:r>
          </w:p>
        </w:tc>
      </w:tr>
      <w:tr>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Evaluation protocol</w:t>
            </w:r>
          </w:p>
        </w:tc>
        <w:tc>
          <w:tcPr>
            <w:tcW w:type="dxa" w:w="46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episodes, deterministic policy, 1 seed</w:t>
            </w:r>
          </w:p>
        </w:tc>
      </w:tr>
    </w:tbl>
    <w:p>
      <w:pPr>
        <w:spacing w:after="80"/>
      </w:pPr>
      <w:r>
        <w:t xml:space="preserve"/>
      </w:r>
    </w:p>
    <w:p>
      <w:pPr>
        <w:pStyle w:val="Heading2"/>
      </w:pPr>
      <w:r>
        <w:rPr>
          <w:rFonts w:ascii="Arial" w:cs="Arial" w:eastAsia="Arial" w:hAnsi="Arial"/>
          <w:b/>
          <w:bCs/>
          <w:color w:val="1F4E79"/>
          <w:sz w:val="26"/>
          <w:szCs w:val="26"/>
        </w:rPr>
        <w:t xml:space="preserve">6.4 Why OU Results Are Better Than Gaussian V3</w:t>
      </w:r>
    </w:p>
    <w:p>
      <w:pPr>
        <w:spacing w:after="120"/>
      </w:pPr>
      <w:r>
        <w:rPr>
          <w:rFonts w:ascii="Arial" w:cs="Arial" w:eastAsia="Arial" w:hAnsi="Arial"/>
          <w:b w:val="false"/>
          <w:bCs w:val="false"/>
          <w:sz w:val="22"/>
          <w:szCs w:val="22"/>
        </w:rPr>
        <w:t xml:space="preserve">V3 OU achieves 97.7% near-resonance vs V3 Gaussian's 64.5%. This is expected and is not a contradiction. The OU drift is mean-reverting — the resonator tends to stay near 500 kHz rather than executing a random walk to the boundaries. The agent trained under Gaussian drift occasionally encounters extreme boundary excursions (to 475 or 525 kHz) that it cannot recover from quickly. Under OU noise these excursions are rare and brief. The agent faces an easier physical tracking problem. The comparison that matters is V3 OU vs V4 OU — within the same noise regime.</w:t>
      </w:r>
    </w:p>
    <w:p>
      <w:pPr>
        <w:spacing w:after="80"/>
      </w:pPr>
      <w:r>
        <w:t xml:space="preserve"/>
      </w:r>
    </w:p>
    <w:p>
      <w:pPr>
        <w:pStyle w:val="Heading1"/>
      </w:pPr>
      <w:r>
        <w:rPr>
          <w:rFonts w:ascii="Arial" w:cs="Arial" w:eastAsia="Arial" w:hAnsi="Arial"/>
          <w:b/>
          <w:bCs/>
          <w:color w:val="2E75B6"/>
          <w:sz w:val="32"/>
          <w:szCs w:val="32"/>
        </w:rPr>
        <w:t xml:space="preserve">7. V4 — Gradient-Augmented Observation Space (OU Noise)</w:t>
      </w:r>
    </w:p>
    <w:p>
      <w:pPr>
        <w:pStyle w:val="Heading2"/>
      </w:pPr>
      <w:r>
        <w:rPr>
          <w:rFonts w:ascii="Arial" w:cs="Arial" w:eastAsia="Arial" w:hAnsi="Arial"/>
          <w:b/>
          <w:bCs/>
          <w:color w:val="1F4E79"/>
          <w:sz w:val="26"/>
          <w:szCs w:val="26"/>
        </w:rPr>
        <w:t xml:space="preserve">7.1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vector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[norm_freq, ema_amp, prev_ema_amp, prev_action, amp_gradient] — 5 elements</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Drift model</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Ornstein-Uhlenbeck: theta=0.05, mu=500,000 Hz, dt=1.0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Spike noise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probability per step, amplitude += uniform(-0.10, +0.10)</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other parameters</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Identical to V4 Gaussian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Seeds trained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independent seeds (0, 1, 2)</w:t>
            </w:r>
          </w:p>
        </w:tc>
      </w:tr>
      <w:tr>
        <w:tc>
          <w:tcPr>
            <w:tcW w:type="dxa" w:w="31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time per seed</w:t>
            </w:r>
          </w:p>
        </w:tc>
        <w:tc>
          <w:tcPr>
            <w:tcW w:type="dxa" w:w="62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~14–52 minutes on RTX 3050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Peak VRAM per seed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21.4 MB</w:t>
            </w:r>
          </w:p>
        </w:tc>
      </w:tr>
    </w:tbl>
    <w:p>
      <w:pPr>
        <w:spacing w:after="80"/>
      </w:pPr>
      <w:r>
        <w:t xml:space="preserve"/>
      </w:r>
    </w:p>
    <w:p>
      <w:pPr>
        <w:pStyle w:val="Heading2"/>
      </w:pPr>
      <w:r>
        <w:rPr>
          <w:rFonts w:ascii="Arial" w:cs="Arial" w:eastAsia="Arial" w:hAnsi="Arial"/>
          <w:b/>
          <w:bCs/>
          <w:color w:val="1F4E79"/>
          <w:sz w:val="26"/>
          <w:szCs w:val="26"/>
        </w:rPr>
        <w:t xml:space="preserve">7.2 Per-Seed Results (1000 Episodes Each —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560"/>
        <w:gridCol w:w="1560"/>
        <w:gridCol w:w="1560"/>
        <w:gridCol w:w="1560"/>
        <w:gridCol w:w="1040"/>
        <w:gridCol w:w="1872"/>
      </w:tblGrid>
      <w:tr>
        <w:trPr>
          <w:tblHeader/>
        </w:trPr>
        <w:tc>
          <w:tcPr>
            <w:tcW w:type="dxa" w:w="124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Seed</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(Hz)</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Std</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Reward</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 Std</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&gt;0.90</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&lt;0.70</w:t>
            </w:r>
          </w:p>
        </w:tc>
      </w:tr>
      <w:tr>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r>
      <w:tr>
        <w:tc>
          <w:tcPr>
            <w:tcW w:type="dxa" w:w="1248"/>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1411</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165</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192.8</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98.1%</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r>
      <w:tr>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r>
      <w:tr>
        <w:tc>
          <w:tcPr>
            <w:tcW w:type="dxa" w:w="1248"/>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Aggregate</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1284</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194.3</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97.9%±0.4%</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r>
    </w:tbl>
    <w:p>
      <w:pPr>
        <w:spacing w:after="80"/>
      </w:pPr>
      <w:r>
        <w:t xml:space="preserve"/>
      </w:r>
    </w:p>
    <w:p>
      <w:pPr>
        <w:pStyle w:val="Heading2"/>
      </w:pPr>
      <w:r>
        <w:rPr>
          <w:rFonts w:ascii="Arial" w:cs="Arial" w:eastAsia="Arial" w:hAnsi="Arial"/>
          <w:b/>
          <w:bCs/>
          <w:color w:val="1F4E79"/>
          <w:sz w:val="26"/>
          <w:szCs w:val="26"/>
        </w:rPr>
        <w:t xml:space="preserve">7.3 V3 vs V4 OU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560"/>
        <w:gridCol w:w="104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V3 OU</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V4 OU Mean</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V4 OU Std</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MAE (Hz)</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1241 ± 254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 (worse)</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Reward</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194.7 ± 2.0</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194.3</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&gt; 0.90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 pp</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Amplitude &lt; 0.70</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change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Mann-Whitney U p-value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1.000 (NOT significant)</w:t>
            </w:r>
          </w:p>
        </w:tc>
      </w:tr>
    </w:tbl>
    <w:p>
      <w:pPr>
        <w:spacing w:after="80"/>
      </w:pPr>
      <w:r>
        <w:t xml:space="preserve"/>
      </w:r>
    </w:p>
    <w:p>
      <w:pPr>
        <w:pStyle w:val="Heading2"/>
      </w:pPr>
      <w:r>
        <w:rPr>
          <w:rFonts w:ascii="Arial" w:cs="Arial" w:eastAsia="Arial" w:hAnsi="Arial"/>
          <w:b/>
          <w:bCs/>
          <w:color w:val="1F4E79"/>
          <w:sz w:val="26"/>
          <w:szCs w:val="26"/>
        </w:rPr>
        <w:t xml:space="preserve">7.4 Why the OU V4 Improvement Is Marginal</w:t>
      </w:r>
    </w:p>
    <w:p>
      <w:pPr>
        <w:spacing w:after="120"/>
      </w:pPr>
      <w:r>
        <w:rPr>
          <w:rFonts w:ascii="Arial" w:cs="Arial" w:eastAsia="Arial" w:hAnsi="Arial"/>
          <w:b w:val="false"/>
          <w:bCs w:val="false"/>
          <w:sz w:val="22"/>
          <w:szCs w:val="22"/>
        </w:rPr>
        <w:t xml:space="preserve">Under OU noise, V3 already achieves 97.7% near-resonance time with 0.0% low-amplitude tail. The baseline performance is so high that the gradient augmentation has little room to add value. The OU drift is smooth and mean-reverting — the agent rarely loses lock even without explicit gradient information. The gradient observation provides greatest benefit when the drift is unpredictable and non-mean-reverting (Gaussian), where directional information is most valuable. Under OU noise, the problem is simply less demanding.</w:t>
      </w:r>
    </w:p>
    <w:p>
      <w:pPr>
        <w:spacing w:after="80"/>
      </w:pPr>
      <w:r>
        <w:t xml:space="preserve"/>
      </w:r>
    </w:p>
    <w:p>
      <w:pPr>
        <w:spacing w:after="120"/>
      </w:pPr>
      <w:r>
        <w:rPr>
          <w:rFonts w:ascii="Arial" w:cs="Arial" w:eastAsia="Arial" w:hAnsi="Arial"/>
          <w:b w:val="false"/>
          <w:bCs w:val="false"/>
          <w:sz w:val="22"/>
          <w:szCs w:val="22"/>
        </w:rPr>
        <w:t xml:space="preserve">The null result under OU noise is an honest scientific finding. It does not invalidate V4's contribution — it characterises the conditions under which gradient augmentation is most beneficial.</w:t>
      </w:r>
    </w:p>
    <w:p>
      <w:pPr>
        <w:spacing w:after="80"/>
      </w:pPr>
      <w:r>
        <w:t xml:space="preserve"/>
      </w:r>
    </w:p>
    <w:p>
      <w:pPr>
        <w:pStyle w:val="Heading1"/>
      </w:pPr>
      <w:r>
        <w:rPr>
          <w:rFonts w:ascii="Arial" w:cs="Arial" w:eastAsia="Arial" w:hAnsi="Arial"/>
          <w:b/>
          <w:bCs/>
          <w:color w:val="2E75B6"/>
          <w:sz w:val="32"/>
          <w:szCs w:val="32"/>
        </w:rPr>
        <w:t xml:space="preserve">8. Statistical Significance Testing</w:t>
      </w:r>
    </w:p>
    <w:p>
      <w:pPr>
        <w:pStyle w:val="Heading2"/>
      </w:pPr>
      <w:r>
        <w:rPr>
          <w:rFonts w:ascii="Arial" w:cs="Arial" w:eastAsia="Arial" w:hAnsi="Arial"/>
          <w:b/>
          <w:bCs/>
          <w:color w:val="1F4E79"/>
          <w:sz w:val="26"/>
          <w:szCs w:val="26"/>
        </w:rPr>
        <w:t xml:space="preserve">8.1 Method</w:t>
      </w:r>
    </w:p>
    <w:p>
      <w:pPr>
        <w:spacing w:after="120"/>
      </w:pPr>
      <w:r>
        <w:rPr>
          <w:rFonts w:ascii="Arial" w:cs="Arial" w:eastAsia="Arial" w:hAnsi="Arial"/>
          <w:b w:val="false"/>
          <w:bCs w:val="false"/>
          <w:sz w:val="22"/>
          <w:szCs w:val="22"/>
        </w:rPr>
        <w:t xml:space="preserve">Mann-Whitney U test was applied to per-episode MAE distributions. The null hypothesis is that V3 and V4 MAE distributions are drawn from the same population. The alternative hypothesis is that V3 MAE is stochastically greater than V4 MAE (one-tailed). Per-episode MAE was collected over 1000 episodes per model using a dedicated evaluation script with correct resonator model assignment — Gaussian models evaluated on Gaussian resonator, OU models evaluated on OU resonator.</w:t>
      </w:r>
    </w:p>
    <w:p>
      <w:pPr>
        <w:spacing w:after="80"/>
      </w:pPr>
      <w:r>
        <w:t xml:space="preserve"/>
      </w:r>
    </w:p>
    <w:p>
      <w:pPr>
        <w:pStyle w:val="Heading2"/>
      </w:pPr>
      <w:r>
        <w:rPr>
          <w:rFonts w:ascii="Arial" w:cs="Arial" w:eastAsia="Arial" w:hAnsi="Arial"/>
          <w:b/>
          <w:bCs/>
          <w:color w:val="1F4E79"/>
          <w:sz w:val="26"/>
          <w:szCs w:val="26"/>
        </w:rPr>
        <w:t xml:space="preserve">8.2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080"/>
        <w:gridCol w:w="1560"/>
        <w:gridCol w:w="104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Regime</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V3 MAE (Hz)</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V4 MAE (Hz)</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 statistic</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3277 ± 1906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2176 ± 1471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3,715,097</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&lt; 0.001 ✓</w:t>
            </w:r>
          </w:p>
        </w:tc>
      </w:tr>
      <w:tr>
        <w:tc>
          <w:tcPr>
            <w:tcW w:type="dxa" w:w="260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 Noise</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1243 ± 238</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1291 ± 257</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1,326,476</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1.000 ✗</w:t>
            </w:r>
          </w:p>
        </w:tc>
      </w:tr>
    </w:tbl>
    <w:p>
      <w:pPr>
        <w:spacing w:after="80"/>
      </w:pPr>
      <w:r>
        <w:t xml:space="preserve"/>
      </w:r>
    </w:p>
    <w:p>
      <w:pPr>
        <w:pStyle w:val="Heading2"/>
      </w:pPr>
      <w:r>
        <w:rPr>
          <w:rFonts w:ascii="Arial" w:cs="Arial" w:eastAsia="Arial" w:hAnsi="Arial"/>
          <w:b/>
          <w:bCs/>
          <w:color w:val="1F4E79"/>
          <w:sz w:val="26"/>
          <w:szCs w:val="26"/>
        </w:rPr>
        <w:t xml:space="preserve">8.3 Interpretation</w:t>
      </w:r>
    </w:p>
    <w:p>
      <w:pPr>
        <w:spacing w:after="120"/>
      </w:pPr>
      <w:r>
        <w:rPr>
          <w:rFonts w:ascii="Arial" w:cs="Arial" w:eastAsia="Arial" w:hAnsi="Arial"/>
          <w:b w:val="false"/>
          <w:bCs w:val="false"/>
          <w:sz w:val="22"/>
          <w:szCs w:val="22"/>
        </w:rPr>
        <w:t xml:space="preserve">Gaussian: The result is highly significant. There is essentially zero probability of observing this MAE difference by chance. Gradient augmentation produces a statistically confirmed 34% reduction in tracking error under Gaussian drift noise.</w:t>
      </w:r>
    </w:p>
    <w:p>
      <w:pPr>
        <w:spacing w:after="80"/>
      </w:pPr>
      <w:r>
        <w:t xml:space="preserve"/>
      </w:r>
    </w:p>
    <w:p>
      <w:pPr>
        <w:spacing w:after="120"/>
      </w:pPr>
      <w:r>
        <w:rPr>
          <w:rFonts w:ascii="Arial" w:cs="Arial" w:eastAsia="Arial" w:hAnsi="Arial"/>
          <w:b w:val="false"/>
          <w:bCs w:val="false"/>
          <w:sz w:val="22"/>
          <w:szCs w:val="22"/>
        </w:rPr>
        <w:t xml:space="preserve">OU: The result is not significant. V4 provides no statistically detectable MAE improvement over V3 under OU noise. The difference is within the noise floor of the evaluation. This is reported as a null result and is scientifically meaningful — it characterises the scope conditions of the contribution.</w:t>
      </w:r>
    </w:p>
    <w:p>
      <w:pPr>
        <w:spacing w:after="80"/>
      </w:pPr>
      <w:r>
        <w:t xml:space="preserve"/>
      </w:r>
    </w:p>
    <w:p>
      <w:pPr>
        <w:pStyle w:val="Heading1"/>
      </w:pPr>
      <w:r>
        <w:rPr>
          <w:rFonts w:ascii="Arial" w:cs="Arial" w:eastAsia="Arial" w:hAnsi="Arial"/>
          <w:b/>
          <w:bCs/>
          <w:color w:val="2E75B6"/>
          <w:sz w:val="32"/>
          <w:szCs w:val="32"/>
        </w:rPr>
        <w:t xml:space="preserve">9. Complete Cross-Model Comparison</w:t>
      </w:r>
    </w:p>
    <w:p>
      <w:pPr>
        <w:pStyle w:val="Heading2"/>
      </w:pPr>
      <w:r>
        <w:rPr>
          <w:rFonts w:ascii="Arial" w:cs="Arial" w:eastAsia="Arial" w:hAnsi="Arial"/>
          <w:b/>
          <w:bCs/>
          <w:color w:val="1F4E79"/>
          <w:sz w:val="26"/>
          <w:szCs w:val="26"/>
        </w:rPr>
        <w:t xml:space="preserve">9.1 All Models — 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72"/>
        <w:gridCol w:w="1560"/>
        <w:gridCol w:w="1560"/>
        <w:gridCol w:w="1352"/>
        <w:gridCol w:w="1040"/>
      </w:tblGrid>
      <w:tr>
        <w:trPr>
          <w:tblHeader/>
        </w:trPr>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(Hz)</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Reward</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&gt;0.90</w:t>
            </w:r>
          </w:p>
        </w:tc>
        <w:tc>
          <w:tcPr>
            <w:tcW w:type="dxa" w:w="135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&lt;0.70</w:t>
            </w:r>
          </w:p>
        </w:tc>
        <w:tc>
          <w:tcPr>
            <w:tcW w:type="dxa" w:w="1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Noise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w:t>
            </w:r>
          </w:p>
        </w:tc>
      </w:tr>
      <w:tr>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V2</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V3 Gaussian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3333 ± 1932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174.3 ± 20.2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64.5%</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13.4%</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w:t>
            </w:r>
          </w:p>
        </w:tc>
      </w:tr>
      <w:tr>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Gaussian</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2205 ± 518</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185.5 ± 5.1</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84.8%±7.6%</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5.1%±3.7%</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V3 OU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1241 ± 254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194.7 ± 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97.7%</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 + spikes</w:t>
            </w:r>
          </w:p>
        </w:tc>
      </w:tr>
      <w:tr>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OU</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1284 ± 93</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194.3 ± 1.1</w:t>
            </w:r>
          </w:p>
        </w:tc>
        <w:tc>
          <w:tcPr>
            <w:tcW w:type="dxa" w:w="156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97.9%±0.4%</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04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 + spikes</w:t>
            </w:r>
          </w:p>
        </w:tc>
      </w:tr>
    </w:tbl>
    <w:p>
      <w:pPr>
        <w:spacing w:after="80"/>
      </w:pPr>
      <w:r>
        <w:t xml:space="preserve"/>
      </w:r>
    </w:p>
    <w:p>
      <w:pPr>
        <w:pStyle w:val="Heading2"/>
      </w:pPr>
      <w:r>
        <w:rPr>
          <w:rFonts w:ascii="Arial" w:cs="Arial" w:eastAsia="Arial" w:hAnsi="Arial"/>
          <w:b/>
          <w:bCs/>
          <w:color w:val="1F4E79"/>
          <w:sz w:val="26"/>
          <w:szCs w:val="26"/>
        </w:rPr>
        <w:t xml:space="preserve">9.2 Gaussian vs OU: What the Numbers Actually Mean</w:t>
      </w:r>
    </w:p>
    <w:p>
      <w:pPr>
        <w:spacing w:after="120"/>
      </w:pPr>
      <w:r>
        <w:rPr>
          <w:rFonts w:ascii="Arial" w:cs="Arial" w:eastAsia="Arial" w:hAnsi="Arial"/>
          <w:b w:val="false"/>
          <w:bCs w:val="false"/>
          <w:sz w:val="22"/>
          <w:szCs w:val="22"/>
        </w:rPr>
        <w:t xml:space="preserve">The OU models produce lower MAE and higher near-resonance time than their Gaussian counterparts. This does not mean OU training is better — it means the OU environment is easier to track. The mean-reverting drift keeps f0 close to 500 kHz for most of the episode. The Gaussian random walk can send f0 to the 475 or 525 kHz boundaries where tracking becomes very hard. Comparing V3 Gaussian (MAE 3333 Hz) with V3 OU (MAE 1241 Hz) does not tell you which model is better — it tells you that Gaussian drift is a harder tracking problem.</w:t>
      </w:r>
    </w:p>
    <w:p>
      <w:pPr>
        <w:spacing w:after="80"/>
      </w:pPr>
      <w:r>
        <w:t xml:space="preserve"/>
      </w:r>
    </w:p>
    <w:p>
      <w:pPr>
        <w:spacing w:after="120"/>
      </w:pPr>
      <w:r>
        <w:rPr>
          <w:rFonts w:ascii="Arial" w:cs="Arial" w:eastAsia="Arial" w:hAnsi="Arial"/>
          <w:b w:val="false"/>
          <w:bCs w:val="false"/>
          <w:sz w:val="22"/>
          <w:szCs w:val="22"/>
        </w:rPr>
        <w:t xml:space="preserve">The correct comparisons are within each noise regime: V3 Gaussian vs V4 Gaussian (gradient augmentation helps significantly), and V3 OU vs V4 OU (gradient augmentation has no significant effect). These are the only comparisons that are scientifically valid.</w:t>
      </w:r>
    </w:p>
    <w:p>
      <w:pPr>
        <w:spacing w:after="80"/>
      </w:pPr>
      <w:r>
        <w:t xml:space="preserve"/>
      </w:r>
    </w:p>
    <w:p>
      <w:pPr>
        <w:pStyle w:val="Heading2"/>
      </w:pPr>
      <w:r>
        <w:rPr>
          <w:rFonts w:ascii="Arial" w:cs="Arial" w:eastAsia="Arial" w:hAnsi="Arial"/>
          <w:b/>
          <w:bCs/>
          <w:color w:val="1F4E79"/>
          <w:sz w:val="26"/>
          <w:szCs w:val="26"/>
        </w:rPr>
        <w:t xml:space="preserve">9.3 Why the Gradient Observation Helps More Under Gaussian Noise</w:t>
      </w:r>
    </w:p>
    <w:p>
      <w:pPr>
        <w:spacing w:after="120"/>
      </w:pPr>
      <w:r>
        <w:rPr>
          <w:rFonts w:ascii="Arial" w:cs="Arial" w:eastAsia="Arial" w:hAnsi="Arial"/>
          <w:b w:val="false"/>
          <w:bCs w:val="false"/>
          <w:sz w:val="22"/>
          <w:szCs w:val="22"/>
        </w:rPr>
        <w:t xml:space="preserve">Under Gaussian drift, the resonator executes a random walk with no tendency to return toward 500 kHz. It can drift far from nominal and stay there. When drift is fast and the agent is far from resonance, it must navigate a steep Lorentzian flank in an uncertain direction. The explicit gradient observation tells the agent which way amplitude is increasing, allowing it to climb back efficiently. Without this information (V3), the agent relies on comparing two consecutive EMA values — a signal corrupted by the simultaneous drift. During fast excursions this signal degrades and the agent loses directional confidence.</w:t>
      </w:r>
    </w:p>
    <w:p>
      <w:pPr>
        <w:spacing w:after="80"/>
      </w:pPr>
      <w:r>
        <w:t xml:space="preserve"/>
      </w:r>
    </w:p>
    <w:p>
      <w:pPr>
        <w:spacing w:after="120"/>
      </w:pPr>
      <w:r>
        <w:rPr>
          <w:rFonts w:ascii="Arial" w:cs="Arial" w:eastAsia="Arial" w:hAnsi="Arial"/>
          <w:b w:val="false"/>
          <w:bCs w:val="false"/>
          <w:sz w:val="22"/>
          <w:szCs w:val="22"/>
        </w:rPr>
        <w:t xml:space="preserve">Under OU drift, the resonator rarely strays far from 500 kHz. The agent is almost always near the Lorentzian peak where the amplitude is high and the gradient is shallow. In this regime the agent does not need explicit gradient information because the problem is easy enough to solve with implicit signals. The gradient observation adds no value when the agent is already sitting at amplitude &gt; 0.97.</w:t>
      </w:r>
    </w:p>
    <w:p>
      <w:pPr>
        <w:spacing w:after="80"/>
      </w:pPr>
      <w:r>
        <w:t xml:space="preserve"/>
      </w:r>
    </w:p>
    <w:p>
      <w:pPr>
        <w:pStyle w:val="Heading2"/>
      </w:pPr>
      <w:r>
        <w:rPr>
          <w:rFonts w:ascii="Arial" w:cs="Arial" w:eastAsia="Arial" w:hAnsi="Arial"/>
          <w:b/>
          <w:bCs/>
          <w:color w:val="1F4E79"/>
          <w:sz w:val="26"/>
          <w:szCs w:val="26"/>
        </w:rPr>
        <w:t xml:space="preserve">9.4 Scientific Integrity of the Null OU Result</w:t>
      </w:r>
    </w:p>
    <w:p>
      <w:pPr>
        <w:spacing w:after="120"/>
      </w:pPr>
      <w:r>
        <w:rPr>
          <w:rFonts w:ascii="Arial" w:cs="Arial" w:eastAsia="Arial" w:hAnsi="Arial"/>
          <w:b w:val="false"/>
          <w:bCs w:val="false"/>
          <w:sz w:val="22"/>
          <w:szCs w:val="22"/>
        </w:rPr>
        <w:t xml:space="preserve">The non-significant OU result strengthens rather than weakens the paper. It demonstrates that the contribution is not a general silver bullet — it is a targeted improvement that works specifically when drift is unpredictable and non-mean-reverting. A paper that reports only significant results is suspicious to reviewers. A paper that explains both where its technique works and where it does not is credible. The OU null result also confirms that the V3 baseline under OU noise is already a high-performing controller, which is itself a useful finding about the robustness of the base architecture.</w:t>
      </w:r>
    </w:p>
    <w:p>
      <w:pPr>
        <w:spacing w:after="80"/>
      </w:pPr>
      <w:r>
        <w:t xml:space="preserve"/>
      </w:r>
    </w:p>
    <w:p>
      <w:pPr>
        <w:pStyle w:val="Heading1"/>
      </w:pPr>
      <w:r>
        <w:rPr>
          <w:rFonts w:ascii="Arial" w:cs="Arial" w:eastAsia="Arial" w:hAnsi="Arial"/>
          <w:b/>
          <w:bCs/>
          <w:color w:val="2E75B6"/>
          <w:sz w:val="32"/>
          <w:szCs w:val="32"/>
        </w:rPr>
        <w:t xml:space="preserve">10. Contribution Statement and Paper Claims</w:t>
      </w:r>
    </w:p>
    <w:p>
      <w:pPr>
        <w:pStyle w:val="Heading2"/>
      </w:pPr>
      <w:r>
        <w:rPr>
          <w:rFonts w:ascii="Arial" w:cs="Arial" w:eastAsia="Arial" w:hAnsi="Arial"/>
          <w:b/>
          <w:bCs/>
          <w:color w:val="1F4E79"/>
          <w:sz w:val="26"/>
          <w:szCs w:val="26"/>
        </w:rPr>
        <w:t xml:space="preserve">10.1 What the Paper Claims</w:t>
      </w:r>
    </w:p>
    <w:p>
      <w:pPr>
        <w:spacing w:after="120"/>
      </w:pPr>
      <w:r>
        <w:rPr>
          <w:rFonts w:ascii="Arial" w:cs="Arial" w:eastAsia="Arial" w:hAnsi="Arial"/>
          <w:b w:val="false"/>
          <w:bCs w:val="false"/>
          <w:sz w:val="22"/>
          <w:szCs w:val="22"/>
        </w:rPr>
        <w:t xml:space="preserve">Augmenting the observation space of a PPO-trained resonator tracking agent with an explicit finite-difference amplitude gradient estimate reduces MAE by 34% and low-amplitude dwell time from 13.4% to 5.1% under Gaussian drift noise (Mann-Whitney U, p &lt; 0.001), while increasing near-resonance tracking time from 64.5% to 84.8%. This improvement is not statistically significant under Ornstein-Uhlenbeck drift with spike noise, where both V3 and V4 maintain &gt;97% near-resonance time, demonstrating robustness of the base architecture. The gradient augmentation provides greatest benefit when drift is non-mean-reverting and directional information is most valuable to the agent.</w:t>
      </w:r>
    </w:p>
    <w:p>
      <w:pPr>
        <w:spacing w:after="80"/>
      </w:pPr>
      <w:r>
        <w:t xml:space="preserve"/>
      </w:r>
    </w:p>
    <w:p>
      <w:pPr>
        <w:pStyle w:val="Heading2"/>
      </w:pPr>
      <w:r>
        <w:rPr>
          <w:rFonts w:ascii="Arial" w:cs="Arial" w:eastAsia="Arial" w:hAnsi="Arial"/>
          <w:b/>
          <w:bCs/>
          <w:color w:val="1F4E79"/>
          <w:sz w:val="26"/>
          <w:szCs w:val="26"/>
        </w:rPr>
        <w:t xml:space="preserve">10.2 What the Paper Does Not Claim</w:t>
      </w:r>
    </w:p>
    <w:p>
      <w:pPr>
        <w:pStyle w:val="ListParagraph"/>
        <w:numPr>
          <w:ilvl w:val="0"/>
          <w:numId w:val="2"/>
        </w:numPr>
        <w:spacing w:after="60"/>
      </w:pPr>
      <w:r>
        <w:rPr>
          <w:rFonts w:ascii="Arial" w:cs="Arial" w:eastAsia="Arial" w:hAnsi="Arial"/>
          <w:sz w:val="20"/>
          <w:szCs w:val="20"/>
        </w:rPr>
        <w:t xml:space="preserve">That V4 OU is better than V4 Gaussian (different environments, incomparable)</w:t>
      </w:r>
    </w:p>
    <w:p>
      <w:pPr>
        <w:pStyle w:val="ListParagraph"/>
        <w:numPr>
          <w:ilvl w:val="0"/>
          <w:numId w:val="2"/>
        </w:numPr>
        <w:spacing w:after="60"/>
      </w:pPr>
      <w:r>
        <w:rPr>
          <w:rFonts w:ascii="Arial" w:cs="Arial" w:eastAsia="Arial" w:hAnsi="Arial"/>
          <w:sz w:val="20"/>
          <w:szCs w:val="20"/>
        </w:rPr>
        <w:t xml:space="preserve">That gradient augmentation is universally superior to any baseline</w:t>
      </w:r>
    </w:p>
    <w:p>
      <w:pPr>
        <w:pStyle w:val="ListParagraph"/>
        <w:numPr>
          <w:ilvl w:val="0"/>
          <w:numId w:val="2"/>
        </w:numPr>
        <w:spacing w:after="60"/>
      </w:pPr>
      <w:r>
        <w:rPr>
          <w:rFonts w:ascii="Arial" w:cs="Arial" w:eastAsia="Arial" w:hAnsi="Arial"/>
          <w:sz w:val="20"/>
          <w:szCs w:val="20"/>
        </w:rPr>
        <w:t xml:space="preserve">That the OU result is significant — it is explicitly not significant and is reported as such</w:t>
      </w:r>
    </w:p>
    <w:p>
      <w:pPr>
        <w:pStyle w:val="ListParagraph"/>
        <w:numPr>
          <w:ilvl w:val="0"/>
          <w:numId w:val="2"/>
        </w:numPr>
        <w:spacing w:after="60"/>
      </w:pPr>
      <w:r>
        <w:rPr>
          <w:rFonts w:ascii="Arial" w:cs="Arial" w:eastAsia="Arial" w:hAnsi="Arial"/>
          <w:sz w:val="20"/>
          <w:szCs w:val="20"/>
        </w:rPr>
        <w:t xml:space="preserve">That hardware results have been obtained — hardware integration is pending</w:t>
      </w:r>
    </w:p>
    <w:p>
      <w:pPr>
        <w:spacing w:after="80"/>
      </w:pPr>
      <w:r>
        <w:t xml:space="preserve"/>
      </w:r>
    </w:p>
    <w:p>
      <w:pPr>
        <w:pStyle w:val="Heading1"/>
      </w:pPr>
      <w:r>
        <w:rPr>
          <w:rFonts w:ascii="Arial" w:cs="Arial" w:eastAsia="Arial" w:hAnsi="Arial"/>
          <w:b/>
          <w:bCs/>
          <w:color w:val="2E75B6"/>
          <w:sz w:val="32"/>
          <w:szCs w:val="32"/>
        </w:rPr>
        <w:t xml:space="preserve">11. Key Numbers Reference (Do Not Re-derive)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80"/>
        <w:gridCol w:w="1872"/>
        <w:gridCol w:w="1352"/>
        <w:gridCol w:w="1352"/>
        <w:gridCol w:w="1872"/>
      </w:tblGrid>
      <w:tr>
        <w:trPr>
          <w:tblHeader/>
        </w:trPr>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MAE (Hz)</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Reward</w:t>
            </w:r>
          </w:p>
        </w:tc>
        <w:tc>
          <w:tcPr>
            <w:tcW w:type="dxa" w:w="135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&gt;0.90</w:t>
            </w:r>
          </w:p>
        </w:tc>
        <w:tc>
          <w:tcPr>
            <w:tcW w:type="dxa" w:w="135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Amp &lt;0.70</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Protocol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V3 Gaussian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3333 ± 1932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174.3 ± 20.2</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64.5%</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 1 run</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S0</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2288 ± 1702</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184.5 ± 17.3</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85.0%</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S1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1731 ± 780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190.2 ± 7.0</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S2</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2608 ± 2010</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181.4 ± 20.3</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78.9%</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S3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1510 ± 367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192.5 ± 2.7</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94.8%</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S4</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2887 ± 1844</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178.9 ± 18.7</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74.3%</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Gauss. Agg.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2205 ± 518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185.5 ± 5.1</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84.8%±7.6%</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5.1%±3.7%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seeds × 1000</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V3 OU</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1241 ± 254</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194.7 ± 2.0</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97.7%</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 1 seed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OU S0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1190 ± 224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194.9 ± 1.9</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98.2%</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OU S1</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1411 ± 165</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192.8 ± 1.5</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98.1%</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OU S2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1250 ± 283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195.3 ± 1.9</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97.3%</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eps</w:t>
            </w:r>
          </w:p>
        </w:tc>
      </w:tr>
      <w:tr>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V4 OU Agg.</w:t>
            </w:r>
          </w:p>
        </w:tc>
        <w:tc>
          <w:tcPr>
            <w:tcW w:type="dxa" w:w="208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1284 ± 93</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194.3 ± 1.1</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97.9%±0.4%</w:t>
            </w:r>
          </w:p>
        </w:tc>
        <w:tc>
          <w:tcPr>
            <w:tcW w:type="dxa" w:w="135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w:t>
            </w:r>
          </w:p>
        </w:tc>
        <w:tc>
          <w:tcPr>
            <w:tcW w:type="dxa" w:w="1872"/>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seeds × 1000</w:t>
            </w:r>
          </w:p>
        </w:tc>
      </w:tr>
    </w:tbl>
    <w:p>
      <w:pPr>
        <w:spacing w:after="80"/>
      </w:pPr>
      <w:r>
        <w:t xml:space="preserve"/>
      </w:r>
    </w:p>
    <w:p>
      <w:pPr>
        <w:pBdr>
          <w:bottom w:val="single" w:color="2E75B6" w:sz="6" w:space="1"/>
        </w:pBdr>
      </w:pPr>
      <w:r>
        <w:t xml:space="preserve"/>
      </w:r>
    </w:p>
    <w:p>
      <w:pPr>
        <w:spacing w:after="80"/>
      </w:pPr>
      <w:r>
        <w:t xml:space="preserve"/>
      </w:r>
    </w:p>
    <w:p>
      <w:pPr>
        <w:spacing w:after="120"/>
      </w:pPr>
      <w:r>
        <w:rPr>
          <w:rFonts w:ascii="Arial" w:cs="Arial" w:eastAsia="Arial" w:hAnsi="Arial"/>
          <w:b w:val="false"/>
          <w:bCs w:val="false"/>
          <w:sz w:val="22"/>
          <w:szCs w:val="22"/>
        </w:rPr>
        <w:t xml:space="preserve">Statistical conclusions: Gaussian V4 vs V3 — SIGNIFICANT (p &lt; 0.001, Mann-Whitney U). OU V4 vs V3 — NOT SIGNIFICANT (p = 1.000). Do not re-derive these numbers. Do not substitute estimates.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2026-03-21T03:38:23.202Z</dcterms:created>
  <dcterms:modified xsi:type="dcterms:W3CDTF">2026-03-21T03:38:23.203Z</dcterms:modified>
</cp:coreProperties>
</file>

<file path=docProps/custom.xml><?xml version="1.0" encoding="utf-8"?>
<Properties xmlns="http://schemas.openxmlformats.org/officeDocument/2006/custom-properties" xmlns:vt="http://schemas.openxmlformats.org/officeDocument/2006/docPropsVTypes"/>
</file>