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pacing w:val="20"/>
          <w:sz w:val="20"/>
          <w:szCs w:val="20"/>
        </w:rPr>
        <w:t xml:space="preserve">DOCUMENT 2 OF 2 — EXECUTION PLAN</w:t>
      </w:r>
    </w:p>
    <w:p>
      <w:pPr>
        <w:spacing w:after="40"/>
      </w:pPr>
      <w:r>
        <w:rPr>
          <w:b/>
          <w:bCs/>
          <w:color w:val="1F3864"/>
          <w:sz w:val="38"/>
          <w:szCs w:val="38"/>
        </w:rPr>
        <w:t xml:space="preserve">QRC / ARCS: Project Changes &amp; Execution Plan</w:t>
      </w:r>
    </w:p>
    <w:p>
      <w:pPr>
        <w:spacing w:after="260"/>
      </w:pPr>
      <w:r>
        <w:rPr>
          <w:i/>
          <w:iCs/>
          <w:color w:val="595959"/>
          <w:sz w:val="23"/>
          <w:szCs w:val="23"/>
        </w:rPr>
        <w:t xml:space="preserve">The engineering/repo side of the plan — your 10 requested changes, made concrete and sequenced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color="auto" w:val="clear"/>
            <w:tcMar>
              <w:top w:type="dxa" w:w="80"/>
              <w:left w:type="dxa" w:w="100"/>
              <w:bottom w:type="dxa" w:w="80"/>
              <w:right w:type="dxa" w:w="100"/>
            </w:tcMar>
          </w:tcPr>
          <w:p>
            <w:pPr>
              <w:jc w:val="left"/>
            </w:pPr>
            <w:r>
              <w:rPr>
                <w:b/>
                <w:bCs/>
                <w:color w:val="FFFFFF"/>
                <w:sz w:val="19"/>
                <w:szCs w:val="19"/>
              </w:rPr>
              <w:t xml:space="preserve"/>
            </w:r>
          </w:p>
        </w:tc>
        <w:tc>
          <w:tcPr>
            <w:tcW w:type="dxa" w:w="7056"/>
            <w:shd w:fill="1F3864" w:color="auto" w:val="clear"/>
            <w:tcMar>
              <w:top w:type="dxa" w:w="80"/>
              <w:left w:type="dxa" w:w="100"/>
              <w:bottom w:type="dxa" w:w="80"/>
              <w:right w:type="dxa" w:w="100"/>
            </w:tcMar>
          </w:tcPr>
          <w:p>
            <w:pPr>
              <w:jc w:val="left"/>
            </w:pPr>
            <w:r>
              <w:rPr>
                <w:b/>
                <w:bCs/>
                <w:color w:val="FFFFFF"/>
                <w:sz w:val="19"/>
                <w:szCs w:val="19"/>
              </w:rPr>
              <w:t xml:space="preserve"/>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Prepared for</w:t>
            </w:r>
          </w:p>
        </w:tc>
        <w:tc>
          <w:tcPr>
            <w:tcW w:type="dxa" w:w="7056"/>
            <w:tcMar>
              <w:top w:type="dxa" w:w="80"/>
              <w:left w:type="dxa" w:w="100"/>
              <w:bottom w:type="dxa" w:w="80"/>
              <w:right w:type="dxa" w:w="100"/>
            </w:tcMar>
          </w:tcPr>
          <w:p>
            <w:pPr>
              <w:jc w:val="left"/>
            </w:pPr>
            <w:r>
              <w:rPr>
                <w:b w:val="false"/>
                <w:bCs w:val="false"/>
                <w:color w:val="000000"/>
                <w:sz w:val="19"/>
                <w:szCs w:val="19"/>
              </w:rPr>
              <w:t xml:space="preserve">Akash Kishore — QRC / ARCS project (22ET49, DSCE / VTU)</w:t>
            </w:r>
          </w:p>
        </w:tc>
      </w:tr>
      <w:tr>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Date</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22 September 2026</w:t>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Companion document</w:t>
            </w:r>
          </w:p>
        </w:tc>
        <w:tc>
          <w:tcPr>
            <w:tcW w:type="dxa" w:w="7056"/>
            <w:tcMar>
              <w:top w:type="dxa" w:w="80"/>
              <w:left w:type="dxa" w:w="100"/>
              <w:bottom w:type="dxa" w:w="80"/>
              <w:right w:type="dxa" w:w="100"/>
            </w:tcMar>
          </w:tcPr>
          <w:p>
            <w:pPr>
              <w:jc w:val="left"/>
            </w:pPr>
            <w:r>
              <w:rPr>
                <w:b w:val="false"/>
                <w:bCs w:val="false"/>
                <w:color w:val="000000"/>
                <w:sz w:val="19"/>
                <w:szCs w:val="19"/>
              </w:rPr>
              <w:t xml:space="preserve">“QRC / ARCS: Research Plan &amp; Paper Structure” — the writing/research side of this same plan</w:t>
            </w:r>
          </w:p>
        </w:tc>
      </w:tr>
    </w:tbl>
    <w:p>
      <w:r>
        <w:br w:type="page"/>
      </w:r>
    </w:p>
    <w:p>
      <w:pPr>
        <w:pStyle w:val="Heading1"/>
        <w:pBdr>
          <w:bottom w:val="single" w:color="1F3864" w:sz="8" w:space="4"/>
        </w:pBdr>
        <w:spacing w:after="160" w:before="360"/>
      </w:pPr>
      <w:r>
        <w:rPr>
          <w:b/>
          <w:bCs/>
          <w:color w:val="1F3864"/>
          <w:sz w:val="30"/>
          <w:szCs w:val="30"/>
        </w:rPr>
        <w:t xml:space="preserve">1. Hardware/Circuit Simulation Expansion</w:t>
      </w:r>
    </w:p>
    <w:p>
      <w:pPr>
        <w:pStyle w:val="Heading2"/>
        <w:spacing w:after="120" w:before="280"/>
      </w:pPr>
      <w:r>
        <w:rPr>
          <w:b/>
          <w:bCs/>
          <w:color w:val="1F3864"/>
          <w:sz w:val="24"/>
          <w:szCs w:val="24"/>
        </w:rPr>
        <w:t xml:space="preserve">1.1 Cross-validate in NI Multisim</w:t>
      </w:r>
    </w:p>
    <w:p>
      <w:pPr>
        <w:spacing w:after="160" w:line="276"/>
      </w:pPr>
      <w:r>
        <w:rPr>
          <w:sz w:val="21"/>
          <w:szCs w:val="21"/>
        </w:rPr>
        <w:t xml:space="preserve">Rebuild the three existing LTSpice stages (power supply, LC resonator, envelope detector) in Multisim as an independent SPICE engine. Report the same headline numbers (rail voltage, resonant frequency, Lorentzian peak shape) from both tools side by side — tool-independent agreement is real, cheap credibility.</w:t>
      </w:r>
    </w:p>
    <w:p>
      <w:pPr>
        <w:pStyle w:val="Heading2"/>
        <w:spacing w:after="120" w:before="280"/>
      </w:pPr>
      <w:r>
        <w:rPr>
          <w:b/>
          <w:bCs/>
          <w:color w:val="1F3864"/>
          <w:sz w:val="24"/>
          <w:szCs w:val="24"/>
        </w:rPr>
        <w:t xml:space="preserve">1.2 Frequency behavior beyond the nominal drift band</w:t>
      </w:r>
    </w:p>
    <w:p>
      <w:pPr>
        <w:pStyle w:val="ListParagraph"/>
        <w:numPr>
          <w:ilvl w:val="0"/>
          <w:numId w:val="2"/>
        </w:numPr>
        <w:spacing w:after="90" w:line="276"/>
      </w:pPr>
      <w:r>
        <w:rPr>
          <w:sz w:val="21"/>
          <w:szCs w:val="21"/>
        </w:rPr>
        <w:t xml:space="preserve">Run an AC sweep well outside the ±25 kHz drift band used by the RL environment (e.g., 100 kHz–2 MHz) to check for secondary resonances, parasitic effects, or op-amp gain-bandwidth roll-off that the narrow-band RL model doesn't see.</w:t>
      </w:r>
    </w:p>
    <w:p>
      <w:pPr>
        <w:pStyle w:val="ListParagraph"/>
        <w:numPr>
          <w:ilvl w:val="0"/>
          <w:numId w:val="2"/>
        </w:numPr>
        <w:spacing w:after="90" w:line="276"/>
      </w:pPr>
      <w:r>
        <w:rPr>
          <w:sz w:val="21"/>
          <w:szCs w:val="21"/>
        </w:rPr>
        <w:t xml:space="preserve">Document the OPA2134UA's gain-bandwidth product against the actual signal frequencies in play — confirm it isn't the limiting factor at the top of the swept range.</w:t>
      </w:r>
    </w:p>
    <w:p>
      <w:pPr>
        <w:pStyle w:val="Heading2"/>
        <w:spacing w:after="120" w:before="280"/>
      </w:pPr>
      <w:r>
        <w:rPr>
          <w:b/>
          <w:bCs/>
          <w:color w:val="1F3864"/>
          <w:sz w:val="24"/>
          <w:szCs w:val="24"/>
        </w:rPr>
        <w:t xml:space="preserve">1.3 Temperature behavior</w:t>
      </w:r>
    </w:p>
    <w:p>
      <w:pPr>
        <w:pStyle w:val="ListParagraph"/>
        <w:numPr>
          <w:ilvl w:val="0"/>
          <w:numId w:val="2"/>
        </w:numPr>
        <w:spacing w:after="90" w:line="276"/>
      </w:pPr>
      <w:r>
        <w:rPr>
          <w:sz w:val="21"/>
          <w:szCs w:val="21"/>
        </w:rPr>
        <w:t xml:space="preserve">No physical hardware exists, so “high temperature” behavior means a SPICE temperature sweep (the .TEMP directive in LTSpice/Multisim), not a bench test. </w:t>
      </w:r>
      <w:r>
        <w:rPr>
          <w:sz w:val="21"/>
          <w:szCs w:val="21"/>
        </w:rPr>
        <w:t xml:space="preserve">Sweep across a realistic operating range (e.g., −20°C to 85°C) and plot: (a) resonant-frequency shift vs. temperature, driven mainly by the varactor's and inductor's temperature coefficients; (b) the AMS1117-3.3 regulator's line/load and thermal regulation; (c) op-amp offset/bias drift. Pull the actual tempco figures from the BB909/MV209 (or BB135,115 substitute) and SRR1280-100M datasheets rather than assuming a number.</w:t>
      </w:r>
    </w:p>
    <w:p>
      <w:pPr>
        <w:pStyle w:val="Heading2"/>
        <w:spacing w:after="120" w:before="280"/>
      </w:pPr>
      <w:r>
        <w:rPr>
          <w:b/>
          <w:bCs/>
          <w:color w:val="1F3864"/>
          <w:sz w:val="24"/>
          <w:szCs w:val="24"/>
        </w:rPr>
        <w:t xml:space="preserve">1.4 Justify every component choice explicitly, in writing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1F3864" w:color="auto" w:val="clear"/>
            <w:tcMar>
              <w:top w:type="dxa" w:w="80"/>
              <w:left w:type="dxa" w:w="100"/>
              <w:bottom w:type="dxa" w:w="80"/>
              <w:right w:type="dxa" w:w="100"/>
            </w:tcMar>
          </w:tcPr>
          <w:p>
            <w:pPr>
              <w:jc w:val="left"/>
            </w:pPr>
            <w:r>
              <w:rPr>
                <w:b/>
                <w:bCs/>
                <w:color w:val="FFFFFF"/>
                <w:sz w:val="19"/>
                <w:szCs w:val="19"/>
              </w:rPr>
              <w:t xml:space="preserve">Component/decision</w:t>
            </w:r>
          </w:p>
        </w:tc>
        <w:tc>
          <w:tcPr>
            <w:tcW w:type="dxa" w:w="7056"/>
            <w:shd w:fill="1F3864" w:color="auto" w:val="clear"/>
            <w:tcMar>
              <w:top w:type="dxa" w:w="80"/>
              <w:left w:type="dxa" w:w="100"/>
              <w:bottom w:type="dxa" w:w="80"/>
              <w:right w:type="dxa" w:w="100"/>
            </w:tcMar>
          </w:tcPr>
          <w:p>
            <w:pPr>
              <w:jc w:val="left"/>
            </w:pPr>
            <w:r>
              <w:rPr>
                <w:b/>
                <w:bCs/>
                <w:color w:val="FFFFFF"/>
                <w:sz w:val="19"/>
                <w:szCs w:val="19"/>
              </w:rPr>
              <w:t xml:space="preserve">Justification to write up</w:t>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C0G capacitors (not X7R) for the LP filter and varactor coupling</w:t>
            </w:r>
          </w:p>
        </w:tc>
        <w:tc>
          <w:tcPr>
            <w:tcW w:type="dxa" w:w="7056"/>
            <w:tcMar>
              <w:top w:type="dxa" w:w="80"/>
              <w:left w:type="dxa" w:w="100"/>
              <w:bottom w:type="dxa" w:w="80"/>
              <w:right w:type="dxa" w:w="100"/>
            </w:tcMar>
          </w:tcPr>
          <w:p>
            <w:pPr>
              <w:jc w:val="left"/>
            </w:pPr>
            <w:r>
              <w:rPr>
                <w:b w:val="false"/>
                <w:bCs w:val="false"/>
                <w:color w:val="000000"/>
                <w:sz w:val="19"/>
                <w:szCs w:val="19"/>
              </w:rPr>
              <w:t xml:space="preserve">X7R's capacitance varies significantly with applied voltage and temperature; C0G is stable — state this quantitatively (typical X7R capacitance swing vs. C0G) rather than asserting it</w:t>
            </w:r>
          </w:p>
        </w:tc>
      </w:tr>
      <w:tr>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3 cm maximum RF lead length</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Tie to the wavelength/parasitic-inductance argument at ~500–556 kHz — show the calculation, not just the rule</w:t>
            </w:r>
          </w:p>
        </w:tc>
      </w:tr>
      <w:tr>
        <w:tc>
          <w:tcPr>
            <w:tcW w:type="dxa" w:w="3024"/>
            <w:tcMar>
              <w:top w:type="dxa" w:w="80"/>
              <w:left w:type="dxa" w:w="100"/>
              <w:bottom w:type="dxa" w:w="80"/>
              <w:right w:type="dxa" w:w="100"/>
            </w:tcMar>
          </w:tcPr>
          <w:p>
            <w:pPr>
              <w:jc w:val="left"/>
            </w:pPr>
            <w:r>
              <w:rPr>
                <w:b w:val="false"/>
                <w:bCs w:val="false"/>
                <w:color w:val="000000"/>
                <w:sz w:val="19"/>
                <w:szCs w:val="19"/>
              </w:rPr>
              <w:t xml:space="preserve">Separate analog/digital AMS1117-3.3 rails</w:t>
            </w:r>
          </w:p>
        </w:tc>
        <w:tc>
          <w:tcPr>
            <w:tcW w:type="dxa" w:w="7056"/>
            <w:tcMar>
              <w:top w:type="dxa" w:w="80"/>
              <w:left w:type="dxa" w:w="100"/>
              <w:bottom w:type="dxa" w:w="80"/>
              <w:right w:type="dxa" w:w="100"/>
            </w:tcMar>
          </w:tcPr>
          <w:p>
            <w:pPr>
              <w:jc w:val="left"/>
            </w:pPr>
            <w:r>
              <w:rPr>
                <w:b w:val="false"/>
                <w:bCs w:val="false"/>
                <w:color w:val="000000"/>
                <w:sz w:val="19"/>
                <w:szCs w:val="19"/>
              </w:rPr>
              <w:t xml:space="preserve">Justify via digital switching noise coupling into the analog resonator path if rails were shared</w:t>
            </w:r>
          </w:p>
        </w:tc>
      </w:tr>
      <w:tr>
        <w:tc>
          <w:tcPr>
            <w:tcW w:type="dxa" w:w="3024"/>
            <w:shd w:fill="EDEDED" w:color="auto" w:val="clear"/>
            <w:tcMar>
              <w:top w:type="dxa" w:w="80"/>
              <w:left w:type="dxa" w:w="100"/>
              <w:bottom w:type="dxa" w:w="80"/>
              <w:right w:type="dxa" w:w="100"/>
            </w:tcMar>
          </w:tcPr>
          <w:p>
            <w:pPr>
              <w:jc w:val="left"/>
            </w:pPr>
            <w:r>
              <w:rPr>
                <w:b w:val="false"/>
                <w:bCs w:val="false"/>
                <w:color w:val="000000"/>
                <w:sz w:val="19"/>
                <w:szCs w:val="19"/>
              </w:rPr>
              <w:t xml:space="preserve">DAC/DDS choice for excitation (see §4 on reconciling MCP4921 vs. AD9834)</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Once reconciled, state why the final choice was made (12-bit SPI DAC simplicity vs. DDS's cleaner spectral purity for a fixed-amplitude sine excitation)</w:t>
            </w:r>
          </w:p>
        </w:tc>
      </w:tr>
    </w:tbl>
    <w:p>
      <w:pPr>
        <w:pStyle w:val="Heading1"/>
        <w:pBdr>
          <w:bottom w:val="single" w:color="1F3864" w:sz="8" w:space="4"/>
        </w:pBdr>
        <w:spacing w:after="160" w:before="360"/>
      </w:pPr>
      <w:r>
        <w:rPr>
          <w:b/>
          <w:bCs/>
          <w:color w:val="1F3864"/>
          <w:sz w:val="30"/>
          <w:szCs w:val="30"/>
        </w:rPr>
        <w:t xml:space="preserve">2. Virtual Hardware-in-the-Loop: Dry Runs and Model Deployment</w:t>
      </w:r>
    </w:p>
    <w:p>
      <w:pPr>
        <w:spacing w:after="160" w:line="276"/>
      </w:pPr>
      <w:r>
        <w:rPr>
          <w:sz w:val="21"/>
          <w:szCs w:val="21"/>
        </w:rPr>
        <w:t xml:space="preserve">This is the closest legitimate substitute for physical validation available to you (established in the prior report) — now made into concrete steps: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shd w:fill="1F3864" w:color="auto" w:val="clear"/>
            <w:tcMar>
              <w:top w:type="dxa" w:w="80"/>
              <w:left w:type="dxa" w:w="100"/>
              <w:bottom w:type="dxa" w:w="80"/>
              <w:right w:type="dxa" w:w="100"/>
            </w:tcMar>
          </w:tcPr>
          <w:p>
            <w:pPr>
              <w:jc w:val="left"/>
            </w:pPr>
            <w:r>
              <w:rPr>
                <w:b/>
                <w:bCs/>
                <w:color w:val="FFFFFF"/>
                <w:sz w:val="19"/>
                <w:szCs w:val="19"/>
              </w:rPr>
              <w:t xml:space="preserve">Step</w:t>
            </w:r>
          </w:p>
        </w:tc>
        <w:tc>
          <w:tcPr>
            <w:tcW w:type="dxa" w:w="9072"/>
            <w:shd w:fill="1F3864" w:color="auto" w:val="clear"/>
            <w:tcMar>
              <w:top w:type="dxa" w:w="80"/>
              <w:left w:type="dxa" w:w="100"/>
              <w:bottom w:type="dxa" w:w="80"/>
              <w:right w:type="dxa" w:w="100"/>
            </w:tcMar>
          </w:tcPr>
          <w:p>
            <w:pPr>
              <w:jc w:val="left"/>
            </w:pPr>
            <w:r>
              <w:rPr>
                <w:b/>
                <w:bCs/>
                <w:color w:val="FFFFFF"/>
                <w:sz w:val="19"/>
                <w:szCs w:val="19"/>
              </w:rPr>
              <w:t xml:space="preserve">Action</w:t>
            </w:r>
          </w:p>
        </w:tc>
      </w:tr>
      <w:tr>
        <w:tc>
          <w:tcPr>
            <w:tcW w:type="dxa" w:w="1008"/>
            <w:tcMar>
              <w:top w:type="dxa" w:w="80"/>
              <w:left w:type="dxa" w:w="100"/>
              <w:bottom w:type="dxa" w:w="80"/>
              <w:right w:type="dxa" w:w="100"/>
            </w:tcMar>
          </w:tcPr>
          <w:p>
            <w:pPr>
              <w:jc w:val="left"/>
            </w:pPr>
            <w:r>
              <w:rPr>
                <w:b w:val="false"/>
                <w:bCs w:val="false"/>
                <w:color w:val="000000"/>
                <w:sz w:val="19"/>
                <w:szCs w:val="19"/>
              </w:rPr>
              <w:t xml:space="preserve">1</w:t>
            </w:r>
          </w:p>
        </w:tc>
        <w:tc>
          <w:tcPr>
            <w:tcW w:type="dxa" w:w="9072"/>
            <w:tcMar>
              <w:top w:type="dxa" w:w="80"/>
              <w:left w:type="dxa" w:w="100"/>
              <w:bottom w:type="dxa" w:w="80"/>
              <w:right w:type="dxa" w:w="100"/>
            </w:tcMar>
          </w:tcPr>
          <w:p>
            <w:pPr>
              <w:jc w:val="left"/>
            </w:pPr>
            <w:r>
              <w:rPr>
                <w:b w:val="false"/>
                <w:bCs w:val="false"/>
                <w:color w:val="000000"/>
                <w:sz w:val="19"/>
                <w:szCs w:val="19"/>
              </w:rPr>
              <w:t xml:space="preserve">Build a Simulink/Simscape Electrical model of the full signal chain: resonator response → envelope detector → RC filter → 12-bit ADC quantization → (reconciled DAC/DDS) excitation path, including realistic component non-idealities (op-amp GBW/slew limits, SPI transfer timing).</w:t>
            </w:r>
          </w:p>
        </w:tc>
      </w:tr>
      <w:tr>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9072"/>
            <w:shd w:fill="EDEDED" w:color="auto" w:val="clear"/>
            <w:tcMar>
              <w:top w:type="dxa" w:w="80"/>
              <w:left w:type="dxa" w:w="100"/>
              <w:bottom w:type="dxa" w:w="80"/>
              <w:right w:type="dxa" w:w="100"/>
            </w:tcMar>
          </w:tcPr>
          <w:p>
            <w:pPr>
              <w:jc w:val="left"/>
            </w:pPr>
            <w:r>
              <w:rPr>
                <w:b w:val="false"/>
                <w:bCs w:val="false"/>
                <w:color w:val="000000"/>
                <w:sz w:val="19"/>
                <w:szCs w:val="19"/>
              </w:rPr>
              <w:t xml:space="preserve">Dry run: feed the virtual plant a handful of fixed test frequencies and confirm the output amplitude curve matches the expected Lorentzian shape and the ADC codes are sane, before running any RL policy against it.</w:t>
            </w:r>
          </w:p>
        </w:tc>
      </w:tr>
      <w:tr>
        <w:tc>
          <w:tcPr>
            <w:tcW w:type="dxa" w:w="1008"/>
            <w:tcMar>
              <w:top w:type="dxa" w:w="80"/>
              <w:left w:type="dxa" w:w="100"/>
              <w:bottom w:type="dxa" w:w="80"/>
              <w:right w:type="dxa" w:w="100"/>
            </w:tcMar>
          </w:tcPr>
          <w:p>
            <w:pPr>
              <w:jc w:val="left"/>
            </w:pPr>
            <w:r>
              <w:rPr>
                <w:b w:val="false"/>
                <w:bCs w:val="false"/>
                <w:color w:val="000000"/>
                <w:sz w:val="19"/>
                <w:szCs w:val="19"/>
              </w:rPr>
              <w:t xml:space="preserve">3</w:t>
            </w:r>
          </w:p>
        </w:tc>
        <w:tc>
          <w:tcPr>
            <w:tcW w:type="dxa" w:w="9072"/>
            <w:tcMar>
              <w:top w:type="dxa" w:w="80"/>
              <w:left w:type="dxa" w:w="100"/>
              <w:bottom w:type="dxa" w:w="80"/>
              <w:right w:type="dxa" w:w="100"/>
            </w:tcMar>
          </w:tcPr>
          <w:p>
            <w:pPr>
              <w:jc w:val="left"/>
            </w:pPr>
            <w:r>
              <w:rPr>
                <w:b w:val="false"/>
                <w:bCs w:val="false"/>
                <w:color w:val="000000"/>
                <w:sz w:val="19"/>
                <w:szCs w:val="19"/>
              </w:rPr>
              <w:t xml:space="preserve">Deploy: run the frozen V4 policy (5 seeds) through the virtual-HIL plant for the same number of episodes used in the classical Gym evaluation.</w:t>
            </w:r>
          </w:p>
        </w:tc>
      </w:tr>
      <w:tr>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9072"/>
            <w:shd w:fill="EDEDED" w:color="auto" w:val="clear"/>
            <w:tcMar>
              <w:top w:type="dxa" w:w="80"/>
              <w:left w:type="dxa" w:w="100"/>
              <w:bottom w:type="dxa" w:w="80"/>
              <w:right w:type="dxa" w:w="100"/>
            </w:tcMar>
          </w:tcPr>
          <w:p>
            <w:pPr>
              <w:jc w:val="left"/>
            </w:pPr>
            <w:r>
              <w:rPr>
                <w:b w:val="false"/>
                <w:bCs w:val="false"/>
                <w:color w:val="000000"/>
                <w:sz w:val="19"/>
                <w:szCs w:val="19"/>
              </w:rPr>
              <w:t xml:space="preserve">Compare MAE/near-resonance/low-amplitude between the abstract Gym environment and the virtual-HIL plant — report both, labeled clearly as “idealized simulation” vs. “component-level simulated plant,” never as “hardware.”</w:t>
            </w:r>
          </w:p>
        </w:tc>
      </w:tr>
    </w:tbl>
    <w:p>
      <w:r>
        <w:br w:type="page"/>
      </w:r>
    </w:p>
    <w:p>
      <w:pPr>
        <w:pStyle w:val="Heading1"/>
        <w:pBdr>
          <w:bottom w:val="single" w:color="1F3864" w:sz="8" w:space="4"/>
        </w:pBdr>
        <w:spacing w:after="160" w:before="360"/>
      </w:pPr>
      <w:r>
        <w:rPr>
          <w:b/>
          <w:bCs/>
          <w:color w:val="1F3864"/>
          <w:sz w:val="30"/>
          <w:szCs w:val="30"/>
        </w:rPr>
        <w:t xml:space="preserve">3. No Hardcoded Results — Provenance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427"/>
        <w:gridCol w:w="4435"/>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File</w:t>
            </w:r>
          </w:p>
        </w:tc>
        <w:tc>
          <w:tcPr>
            <w:tcW w:type="dxa" w:w="3427"/>
            <w:shd w:fill="1F3864" w:color="auto" w:val="clear"/>
            <w:tcMar>
              <w:top w:type="dxa" w:w="80"/>
              <w:left w:type="dxa" w:w="100"/>
              <w:bottom w:type="dxa" w:w="80"/>
              <w:right w:type="dxa" w:w="100"/>
            </w:tcMar>
          </w:tcPr>
          <w:p>
            <w:pPr>
              <w:jc w:val="left"/>
            </w:pPr>
            <w:r>
              <w:rPr>
                <w:b/>
                <w:bCs/>
                <w:color w:val="FFFFFF"/>
                <w:sz w:val="19"/>
                <w:szCs w:val="19"/>
              </w:rPr>
              <w:t xml:space="preserve">Current problem</w:t>
            </w:r>
          </w:p>
        </w:tc>
        <w:tc>
          <w:tcPr>
            <w:tcW w:type="dxa" w:w="4435"/>
            <w:shd w:fill="1F3864" w:color="auto" w:val="clear"/>
            <w:tcMar>
              <w:top w:type="dxa" w:w="80"/>
              <w:left w:type="dxa" w:w="100"/>
              <w:bottom w:type="dxa" w:w="80"/>
              <w:right w:type="dxa" w:w="100"/>
            </w:tcMar>
          </w:tcPr>
          <w:p>
            <w:pPr>
              <w:jc w:val="left"/>
            </w:pPr>
            <w:r>
              <w:rPr>
                <w:b/>
                <w:bCs/>
                <w:color w:val="FFFFFF"/>
                <w:sz w:val="19"/>
                <w:szCs w:val="19"/>
              </w:rPr>
              <w:t xml:space="preserve">Fix</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pid_baseline.py</w:t>
            </w:r>
          </w:p>
        </w:tc>
        <w:tc>
          <w:tcPr>
            <w:tcW w:type="dxa" w:w="3427"/>
            <w:tcMar>
              <w:top w:type="dxa" w:w="80"/>
              <w:left w:type="dxa" w:w="100"/>
              <w:bottom w:type="dxa" w:w="80"/>
              <w:right w:type="dxa" w:w="100"/>
            </w:tcMar>
          </w:tcPr>
          <w:p>
            <w:pPr>
              <w:jc w:val="left"/>
            </w:pPr>
            <w:r>
              <w:rPr>
                <w:b w:val="false"/>
                <w:bCs w:val="false"/>
                <w:color w:val="000000"/>
                <w:sz w:val="19"/>
                <w:szCs w:val="19"/>
              </w:rPr>
              <w:t xml:space="preserve">Hardcodes RL numbers for comparison in its summary printout</w:t>
            </w:r>
          </w:p>
        </w:tc>
        <w:tc>
          <w:tcPr>
            <w:tcW w:type="dxa" w:w="4435"/>
            <w:tcMar>
              <w:top w:type="dxa" w:w="80"/>
              <w:left w:type="dxa" w:w="100"/>
              <w:bottom w:type="dxa" w:w="80"/>
              <w:right w:type="dxa" w:w="100"/>
            </w:tcMar>
          </w:tcPr>
          <w:p>
            <w:pPr>
              <w:jc w:val="left"/>
            </w:pPr>
            <w:r>
              <w:rPr>
                <w:b w:val="false"/>
                <w:bCs w:val="false"/>
                <w:color w:val="000000"/>
                <w:sz w:val="19"/>
                <w:szCs w:val="19"/>
              </w:rPr>
              <w:t xml:space="preserve">Load RL results from the actual saved evaluation logs/JSON at run time</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compare_v3_v4.py</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Hardcodes V3/V4 numbers</w:t>
            </w:r>
          </w:p>
        </w:tc>
        <w:tc>
          <w:tcPr>
            <w:tcW w:type="dxa" w:w="4435"/>
            <w:shd w:fill="EDEDED" w:color="auto" w:val="clear"/>
            <w:tcMar>
              <w:top w:type="dxa" w:w="80"/>
              <w:left w:type="dxa" w:w="100"/>
              <w:bottom w:type="dxa" w:w="80"/>
              <w:right w:type="dxa" w:w="100"/>
            </w:tcMar>
          </w:tcPr>
          <w:p>
            <w:pPr>
              <w:jc w:val="left"/>
            </w:pPr>
            <w:r>
              <w:rPr>
                <w:b w:val="false"/>
                <w:bCs w:val="false"/>
                <w:color w:val="000000"/>
                <w:sz w:val="19"/>
                <w:szCs w:val="19"/>
              </w:rPr>
              <w:t xml:space="preserve">Same fix — compute from saved checkpoints/logs, never paste literals</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Every results JSON going forward</w:t>
            </w:r>
          </w:p>
        </w:tc>
        <w:tc>
          <w:tcPr>
            <w:tcW w:type="dxa" w:w="3427"/>
            <w:tcMar>
              <w:top w:type="dxa" w:w="80"/>
              <w:left w:type="dxa" w:w="100"/>
              <w:bottom w:type="dxa" w:w="80"/>
              <w:right w:type="dxa" w:w="100"/>
            </w:tcMar>
          </w:tcPr>
          <w:p>
            <w:pPr>
              <w:jc w:val="left"/>
            </w:pPr>
            <w:r>
              <w:rPr>
                <w:b w:val="false"/>
                <w:bCs w:val="false"/>
                <w:color w:val="000000"/>
                <w:sz w:val="19"/>
                <w:szCs w:val="19"/>
              </w:rPr>
              <w:t xml:space="preserve">No record of how a number was produced</w:t>
            </w:r>
          </w:p>
        </w:tc>
        <w:tc>
          <w:tcPr>
            <w:tcW w:type="dxa" w:w="4435"/>
            <w:tcMar>
              <w:top w:type="dxa" w:w="80"/>
              <w:left w:type="dxa" w:w="100"/>
              <w:bottom w:type="dxa" w:w="80"/>
              <w:right w:type="dxa" w:w="100"/>
            </w:tcMar>
          </w:tcPr>
          <w:p>
            <w:pPr>
              <w:jc w:val="left"/>
            </w:pPr>
            <w:r>
              <w:rPr>
                <w:b w:val="false"/>
                <w:bCs w:val="false"/>
                <w:color w:val="000000"/>
                <w:sz w:val="19"/>
                <w:szCs w:val="19"/>
              </w:rPr>
              <w:t xml:space="preserve">Add a small provenance block to every saved result: git commit hash, seed(s) used, timestamp, exact command run — so any number in the paper can be traced back to a regenerable run</w:t>
            </w:r>
          </w:p>
        </w:tc>
      </w:tr>
    </w:tbl>
    <w:p>
      <w:pPr>
        <w:pBdr>
          <w:left w:val="single" w:color="1F3864" w:sz="24" w:space="8"/>
        </w:pBdr>
        <w:spacing w:after="200" w:before="120" w:line="276"/>
        <w:ind w:left="200"/>
      </w:pPr>
      <w:r>
        <w:rPr>
          <w:i/>
          <w:iCs/>
          <w:color w:val="333333"/>
          <w:sz w:val="21"/>
          <w:szCs w:val="21"/>
        </w:rPr>
        <w:t xml:space="preserve">Add one CI-style check if you can spare the time: a script that scans results files for the provenance block and fails loudly if it's missing. Cheap insurance against exactly the kind of hardcoding the agentic audit already caught once.</w:t>
      </w:r>
    </w:p>
    <w:p>
      <w:pPr>
        <w:pStyle w:val="Heading1"/>
        <w:pBdr>
          <w:bottom w:val="single" w:color="1F3864" w:sz="8" w:space="4"/>
        </w:pBdr>
        <w:spacing w:after="160" w:before="360"/>
      </w:pPr>
      <w:r>
        <w:rPr>
          <w:b/>
          <w:bCs/>
          <w:color w:val="1F3864"/>
          <w:sz w:val="30"/>
          <w:szCs w:val="30"/>
        </w:rPr>
        <w:t xml:space="preserve">4. Path Migration and Pipeline Repair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shd w:fill="1F3864" w:color="auto" w:val="clear"/>
            <w:tcMar>
              <w:top w:type="dxa" w:w="80"/>
              <w:left w:type="dxa" w:w="100"/>
              <w:bottom w:type="dxa" w:w="80"/>
              <w:right w:type="dxa" w:w="100"/>
            </w:tcMar>
          </w:tcPr>
          <w:p>
            <w:pPr>
              <w:jc w:val="left"/>
            </w:pPr>
            <w:r>
              <w:rPr>
                <w:b/>
                <w:bCs/>
                <w:color w:val="FFFFFF"/>
                <w:sz w:val="19"/>
                <w:szCs w:val="19"/>
              </w:rPr>
              <w:t xml:space="preserve">Step</w:t>
            </w:r>
          </w:p>
        </w:tc>
        <w:tc>
          <w:tcPr>
            <w:tcW w:type="dxa" w:w="9072"/>
            <w:shd w:fill="1F3864" w:color="auto" w:val="clear"/>
            <w:tcMar>
              <w:top w:type="dxa" w:w="80"/>
              <w:left w:type="dxa" w:w="100"/>
              <w:bottom w:type="dxa" w:w="80"/>
              <w:right w:type="dxa" w:w="100"/>
            </w:tcMar>
          </w:tcPr>
          <w:p>
            <w:pPr>
              <w:jc w:val="left"/>
            </w:pPr>
            <w:r>
              <w:rPr>
                <w:b/>
                <w:bCs/>
                <w:color w:val="FFFFFF"/>
                <w:sz w:val="19"/>
                <w:szCs w:val="19"/>
              </w:rPr>
              <w:t xml:space="preserve">Action</w:t>
            </w:r>
          </w:p>
        </w:tc>
      </w:tr>
      <w:tr>
        <w:tc>
          <w:tcPr>
            <w:tcW w:type="dxa" w:w="1008"/>
            <w:tcMar>
              <w:top w:type="dxa" w:w="80"/>
              <w:left w:type="dxa" w:w="100"/>
              <w:bottom w:type="dxa" w:w="80"/>
              <w:right w:type="dxa" w:w="100"/>
            </w:tcMar>
          </w:tcPr>
          <w:p>
            <w:pPr>
              <w:jc w:val="left"/>
            </w:pPr>
            <w:r>
              <w:rPr>
                <w:b w:val="false"/>
                <w:bCs w:val="false"/>
                <w:color w:val="000000"/>
                <w:sz w:val="19"/>
                <w:szCs w:val="19"/>
              </w:rPr>
              <w:t xml:space="preserve">1</w:t>
            </w:r>
          </w:p>
        </w:tc>
        <w:tc>
          <w:tcPr>
            <w:tcW w:type="dxa" w:w="9072"/>
            <w:tcMar>
              <w:top w:type="dxa" w:w="80"/>
              <w:left w:type="dxa" w:w="100"/>
              <w:bottom w:type="dxa" w:w="80"/>
              <w:right w:type="dxa" w:w="100"/>
            </w:tcMar>
          </w:tcPr>
          <w:p>
            <w:pPr>
              <w:jc w:val="left"/>
            </w:pPr>
            <w:r>
              <w:rPr>
                <w:b w:val="false"/>
                <w:bCs w:val="false"/>
                <w:color w:val="000000"/>
                <w:sz w:val="19"/>
                <w:szCs w:val="19"/>
              </w:rPr>
              <w:t xml:space="preserve">grep the entire repo for absolute path fragments (C:\MiniProject_Sem4, C:\Projects\MiniProject_Sem4, any other machine-specific paths).</w:t>
            </w:r>
          </w:p>
        </w:tc>
      </w:tr>
      <w:tr>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9072"/>
            <w:shd w:fill="EDEDED" w:color="auto" w:val="clear"/>
            <w:tcMar>
              <w:top w:type="dxa" w:w="80"/>
              <w:left w:type="dxa" w:w="100"/>
              <w:bottom w:type="dxa" w:w="80"/>
              <w:right w:type="dxa" w:w="100"/>
            </w:tcMar>
          </w:tcPr>
          <w:p>
            <w:pPr>
              <w:jc w:val="left"/>
            </w:pPr>
            <w:r>
              <w:rPr>
                <w:b w:val="false"/>
                <w:bCs w:val="false"/>
                <w:color w:val="000000"/>
                <w:sz w:val="19"/>
                <w:szCs w:val="19"/>
              </w:rPr>
              <w:t xml:space="preserve">Replace every hit with a path resolved relative to the repo root (e.g., a single PROJECT_ROOT constant derived from the current file's location, or a small config/.env file read once at startup) — never a second hardcoded absolute path.</w:t>
            </w:r>
          </w:p>
        </w:tc>
      </w:tr>
      <w:tr>
        <w:tc>
          <w:tcPr>
            <w:tcW w:type="dxa" w:w="1008"/>
            <w:tcMar>
              <w:top w:type="dxa" w:w="80"/>
              <w:left w:type="dxa" w:w="100"/>
              <w:bottom w:type="dxa" w:w="80"/>
              <w:right w:type="dxa" w:w="100"/>
            </w:tcMar>
          </w:tcPr>
          <w:p>
            <w:pPr>
              <w:jc w:val="left"/>
            </w:pPr>
            <w:r>
              <w:rPr>
                <w:b w:val="false"/>
                <w:bCs w:val="false"/>
                <w:color w:val="000000"/>
                <w:sz w:val="19"/>
                <w:szCs w:val="19"/>
              </w:rPr>
              <w:t xml:space="preserve">3</w:t>
            </w:r>
          </w:p>
        </w:tc>
        <w:tc>
          <w:tcPr>
            <w:tcW w:type="dxa" w:w="9072"/>
            <w:tcMar>
              <w:top w:type="dxa" w:w="80"/>
              <w:left w:type="dxa" w:w="100"/>
              <w:bottom w:type="dxa" w:w="80"/>
              <w:right w:type="dxa" w:w="100"/>
            </w:tcMar>
          </w:tcPr>
          <w:p>
            <w:pPr>
              <w:jc w:val="left"/>
            </w:pPr>
            <w:r>
              <w:rPr>
                <w:b w:val="false"/>
                <w:bCs w:val="false"/>
                <w:color w:val="000000"/>
                <w:sz w:val="19"/>
                <w:szCs w:val="19"/>
              </w:rPr>
              <w:t xml:space="preserve">Restore or recreate qiskit_integration.qiskit_resonator_env_v2 (only _v3 currently exists), or repoint phase1_baseline.py and sweep_verify_v2.py at whichever version is now canonical.</w:t>
            </w:r>
          </w:p>
        </w:tc>
      </w:tr>
      <w:tr>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9072"/>
            <w:shd w:fill="EDEDED" w:color="auto" w:val="clear"/>
            <w:tcMar>
              <w:top w:type="dxa" w:w="80"/>
              <w:left w:type="dxa" w:w="100"/>
              <w:bottom w:type="dxa" w:w="80"/>
              <w:right w:type="dxa" w:w="100"/>
            </w:tcMar>
          </w:tcPr>
          <w:p>
            <w:pPr>
              <w:jc w:val="left"/>
            </w:pPr>
            <w:r>
              <w:rPr>
                <w:b w:val="false"/>
                <w:bCs w:val="false"/>
                <w:color w:val="000000"/>
                <w:sz w:val="19"/>
                <w:szCs w:val="19"/>
              </w:rPr>
              <w:t xml:space="preserve">Prove it: copy the whole repo to a fresh directory (simulating a new machine/collaborator) and run the full pipeline end-to-end from that copy before considering this done.</w:t>
            </w:r>
          </w:p>
        </w:tc>
      </w:tr>
    </w:tbl>
    <w:p>
      <w:pPr>
        <w:pStyle w:val="Heading1"/>
        <w:pBdr>
          <w:bottom w:val="single" w:color="1F3864" w:sz="8" w:space="4"/>
        </w:pBdr>
        <w:spacing w:after="160" w:before="360"/>
      </w:pPr>
      <w:r>
        <w:rPr>
          <w:b/>
          <w:bCs/>
          <w:color w:val="1F3864"/>
          <w:sz w:val="30"/>
          <w:szCs w:val="30"/>
        </w:rPr>
        <w:t xml:space="preserve">5. Plotting and Comparative Charts</w:t>
      </w:r>
    </w:p>
    <w:p>
      <w:pPr>
        <w:spacing w:after="160" w:line="276"/>
      </w:pPr>
      <w:r>
        <w:rPr>
          <w:sz w:val="21"/>
          <w:szCs w:val="21"/>
        </w:rPr>
        <w:t xml:space="preserve">This is genuinely one of the highest-value items on your list — a reviewer will look at your figures before your tables. Build these specifically: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1"/>
        <w:gridCol w:w="2016"/>
        <w:gridCol w:w="3226"/>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Chart</w:t>
            </w:r>
          </w:p>
        </w:tc>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Data source</w:t>
            </w:r>
          </w:p>
        </w:tc>
        <w:tc>
          <w:tcPr>
            <w:tcW w:type="dxa" w:w="2016"/>
            <w:shd w:fill="1F3864" w:color="auto" w:val="clear"/>
            <w:tcMar>
              <w:top w:type="dxa" w:w="80"/>
              <w:left w:type="dxa" w:w="100"/>
              <w:bottom w:type="dxa" w:w="80"/>
              <w:right w:type="dxa" w:w="100"/>
            </w:tcMar>
          </w:tcPr>
          <w:p>
            <w:pPr>
              <w:jc w:val="left"/>
            </w:pPr>
            <w:r>
              <w:rPr>
                <w:b/>
                <w:bCs/>
                <w:color w:val="FFFFFF"/>
                <w:sz w:val="19"/>
                <w:szCs w:val="19"/>
              </w:rPr>
              <w:t xml:space="preserve">Type</w:t>
            </w:r>
          </w:p>
        </w:tc>
        <w:tc>
          <w:tcPr>
            <w:tcW w:type="dxa" w:w="3226"/>
            <w:shd w:fill="1F3864" w:color="auto" w:val="clear"/>
            <w:tcMar>
              <w:top w:type="dxa" w:w="80"/>
              <w:left w:type="dxa" w:w="100"/>
              <w:bottom w:type="dxa" w:w="80"/>
              <w:right w:type="dxa" w:w="100"/>
            </w:tcMar>
          </w:tcPr>
          <w:p>
            <w:pPr>
              <w:jc w:val="left"/>
            </w:pPr>
            <w:r>
              <w:rPr>
                <w:b/>
                <w:bCs/>
                <w:color w:val="FFFFFF"/>
                <w:sz w:val="19"/>
                <w:szCs w:val="19"/>
              </w:rPr>
              <w:t xml:space="preserve">Purpose</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Ablation comparison</w:t>
            </w:r>
          </w:p>
        </w:tc>
        <w:tc>
          <w:tcPr>
            <w:tcW w:type="dxa" w:w="2621"/>
            <w:tcMar>
              <w:top w:type="dxa" w:w="80"/>
              <w:left w:type="dxa" w:w="100"/>
              <w:bottom w:type="dxa" w:w="80"/>
              <w:right w:type="dxa" w:w="100"/>
            </w:tcMar>
          </w:tcPr>
          <w:p>
            <w:pPr>
              <w:jc w:val="left"/>
            </w:pPr>
            <w:r>
              <w:rPr>
                <w:b w:val="false"/>
                <w:bCs w:val="false"/>
                <w:color w:val="000000"/>
                <w:sz w:val="19"/>
                <w:szCs w:val="19"/>
              </w:rPr>
              <w:t xml:space="preserve">V3 / V4a / V4b / V4 (5-seed aggregate)</w:t>
            </w:r>
          </w:p>
        </w:tc>
        <w:tc>
          <w:tcPr>
            <w:tcW w:type="dxa" w:w="2016"/>
            <w:tcMar>
              <w:top w:type="dxa" w:w="80"/>
              <w:left w:type="dxa" w:w="100"/>
              <w:bottom w:type="dxa" w:w="80"/>
              <w:right w:type="dxa" w:w="100"/>
            </w:tcMar>
          </w:tcPr>
          <w:p>
            <w:pPr>
              <w:jc w:val="left"/>
            </w:pPr>
            <w:r>
              <w:rPr>
                <w:b w:val="false"/>
                <w:bCs w:val="false"/>
                <w:color w:val="000000"/>
                <w:sz w:val="19"/>
                <w:szCs w:val="19"/>
              </w:rPr>
              <w:t xml:space="preserve">Grouped bar chart, MAE with error bars</w:t>
            </w:r>
          </w:p>
        </w:tc>
        <w:tc>
          <w:tcPr>
            <w:tcW w:type="dxa" w:w="3226"/>
            <w:tcMar>
              <w:top w:type="dxa" w:w="80"/>
              <w:left w:type="dxa" w:w="100"/>
              <w:bottom w:type="dxa" w:w="80"/>
              <w:right w:type="dxa" w:w="100"/>
            </w:tcMar>
          </w:tcPr>
          <w:p>
            <w:pPr>
              <w:jc w:val="left"/>
            </w:pPr>
            <w:r>
              <w:rPr>
                <w:b w:val="false"/>
                <w:bCs w:val="false"/>
                <w:color w:val="000000"/>
                <w:sz w:val="19"/>
                <w:szCs w:val="19"/>
              </w:rPr>
              <w:t xml:space="preserve">The paper's single most important figure — makes the negative-information finding immediately visible</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Noise-regime comparison</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Gaussian vs. OU, per controller (PID/V3/V4)</w:t>
            </w:r>
          </w:p>
        </w:tc>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Grouped bar chart</w:t>
            </w:r>
          </w:p>
        </w:tc>
        <w:tc>
          <w:tcPr>
            <w:tcW w:type="dxa" w:w="3226"/>
            <w:shd w:fill="EDEDED" w:color="auto" w:val="clear"/>
            <w:tcMar>
              <w:top w:type="dxa" w:w="80"/>
              <w:left w:type="dxa" w:w="100"/>
              <w:bottom w:type="dxa" w:w="80"/>
              <w:right w:type="dxa" w:w="100"/>
            </w:tcMar>
          </w:tcPr>
          <w:p>
            <w:pPr>
              <w:jc w:val="left"/>
            </w:pPr>
            <w:r>
              <w:rPr>
                <w:b w:val="false"/>
                <w:bCs w:val="false"/>
                <w:color w:val="000000"/>
                <w:sz w:val="19"/>
                <w:szCs w:val="19"/>
              </w:rPr>
              <w:t xml:space="preserve">Shows the regime-dependence of the RL advantage at a glance</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PID variance story</w:t>
            </w:r>
          </w:p>
        </w:tc>
        <w:tc>
          <w:tcPr>
            <w:tcW w:type="dxa" w:w="2621"/>
            <w:tcMar>
              <w:top w:type="dxa" w:w="80"/>
              <w:left w:type="dxa" w:w="100"/>
              <w:bottom w:type="dxa" w:w="80"/>
              <w:right w:type="dxa" w:w="100"/>
            </w:tcMar>
          </w:tcPr>
          <w:p>
            <w:pPr>
              <w:jc w:val="left"/>
            </w:pPr>
            <w:r>
              <w:rPr>
                <w:b w:val="false"/>
                <w:bCs w:val="false"/>
                <w:color w:val="000000"/>
                <w:sz w:val="19"/>
                <w:szCs w:val="19"/>
              </w:rPr>
              <w:t xml:space="preserve">PID Gaussian per-episode MAE distribution vs. V4's</w:t>
            </w:r>
          </w:p>
        </w:tc>
        <w:tc>
          <w:tcPr>
            <w:tcW w:type="dxa" w:w="2016"/>
            <w:tcMar>
              <w:top w:type="dxa" w:w="80"/>
              <w:left w:type="dxa" w:w="100"/>
              <w:bottom w:type="dxa" w:w="80"/>
              <w:right w:type="dxa" w:w="100"/>
            </w:tcMar>
          </w:tcPr>
          <w:p>
            <w:pPr>
              <w:jc w:val="left"/>
            </w:pPr>
            <w:r>
              <w:rPr>
                <w:b w:val="false"/>
                <w:bCs w:val="false"/>
                <w:color w:val="000000"/>
                <w:sz w:val="19"/>
                <w:szCs w:val="19"/>
              </w:rPr>
              <w:t xml:space="preserve">Box plot or violin plot</w:t>
            </w:r>
          </w:p>
        </w:tc>
        <w:tc>
          <w:tcPr>
            <w:tcW w:type="dxa" w:w="3226"/>
            <w:tcMar>
              <w:top w:type="dxa" w:w="80"/>
              <w:left w:type="dxa" w:w="100"/>
              <w:bottom w:type="dxa" w:w="80"/>
              <w:right w:type="dxa" w:w="100"/>
            </w:tcMar>
          </w:tcPr>
          <w:p>
            <w:pPr>
              <w:jc w:val="left"/>
            </w:pPr>
            <w:r>
              <w:rPr>
                <w:b w:val="false"/>
                <w:bCs w:val="false"/>
                <w:color w:val="000000"/>
                <w:sz w:val="19"/>
                <w:szCs w:val="19"/>
              </w:rPr>
              <w:t xml:space="preserve">Makes the “PID fails catastrophically on a subset of episodes” argument visual rather than just a std-dev number</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Trajectory plots</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Agent frequency vs. true resonance over an episode, for a representative success and a representative near-failure</w:t>
            </w:r>
          </w:p>
        </w:tc>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Line plot, one or two panels</w:t>
            </w:r>
          </w:p>
        </w:tc>
        <w:tc>
          <w:tcPr>
            <w:tcW w:type="dxa" w:w="3226"/>
            <w:shd w:fill="EDEDED" w:color="auto" w:val="clear"/>
            <w:tcMar>
              <w:top w:type="dxa" w:w="80"/>
              <w:left w:type="dxa" w:w="100"/>
              <w:bottom w:type="dxa" w:w="80"/>
              <w:right w:type="dxa" w:w="100"/>
            </w:tcMar>
          </w:tcPr>
          <w:p>
            <w:pPr>
              <w:jc w:val="left"/>
            </w:pPr>
            <w:r>
              <w:rPr>
                <w:b w:val="false"/>
                <w:bCs w:val="false"/>
                <w:color w:val="000000"/>
                <w:sz w:val="19"/>
                <w:szCs w:val="19"/>
              </w:rPr>
              <w:t xml:space="preserve">Your own established safeguard against degenerate policies — belongs in the paper as a figure, not just an internal check</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Cross-simulator transfer</w:t>
            </w:r>
          </w:p>
        </w:tc>
        <w:tc>
          <w:tcPr>
            <w:tcW w:type="dxa" w:w="2621"/>
            <w:tcMar>
              <w:top w:type="dxa" w:w="80"/>
              <w:left w:type="dxa" w:w="100"/>
              <w:bottom w:type="dxa" w:w="80"/>
              <w:right w:type="dxa" w:w="100"/>
            </w:tcMar>
          </w:tcPr>
          <w:p>
            <w:pPr>
              <w:jc w:val="left"/>
            </w:pPr>
            <w:r>
              <w:rPr>
                <w:b w:val="false"/>
                <w:bCs w:val="false"/>
                <w:color w:val="000000"/>
                <w:sz w:val="19"/>
                <w:szCs w:val="19"/>
              </w:rPr>
              <w:t xml:space="preserve">Classical / misaligned-Qiskit / aligned-Qiskit / fine-tuned-Qiskit</w:t>
            </w:r>
          </w:p>
        </w:tc>
        <w:tc>
          <w:tcPr>
            <w:tcW w:type="dxa" w:w="2016"/>
            <w:tcMar>
              <w:top w:type="dxa" w:w="80"/>
              <w:left w:type="dxa" w:w="100"/>
              <w:bottom w:type="dxa" w:w="80"/>
              <w:right w:type="dxa" w:w="100"/>
            </w:tcMar>
          </w:tcPr>
          <w:p>
            <w:pPr>
              <w:jc w:val="left"/>
            </w:pPr>
            <w:r>
              <w:rPr>
                <w:b w:val="false"/>
                <w:bCs w:val="false"/>
                <w:color w:val="000000"/>
                <w:sz w:val="19"/>
                <w:szCs w:val="19"/>
              </w:rPr>
              <w:t xml:space="preserve">Grouped bar chart, MAE + near-resonance side by side</w:t>
            </w:r>
          </w:p>
        </w:tc>
        <w:tc>
          <w:tcPr>
            <w:tcW w:type="dxa" w:w="3226"/>
            <w:tcMar>
              <w:top w:type="dxa" w:w="80"/>
              <w:left w:type="dxa" w:w="100"/>
              <w:bottom w:type="dxa" w:w="80"/>
              <w:right w:type="dxa" w:w="100"/>
            </w:tcMar>
          </w:tcPr>
          <w:p>
            <w:pPr>
              <w:jc w:val="left"/>
            </w:pPr>
            <w:r>
              <w:rPr>
                <w:b w:val="false"/>
                <w:bCs w:val="false"/>
                <w:color w:val="000000"/>
                <w:sz w:val="19"/>
                <w:szCs w:val="19"/>
              </w:rPr>
              <w:t xml:space="preserve">Tells the whole QACT story in one figure</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Per-episode QACT variance breakdown</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QACT episode-level MAE values</w:t>
            </w:r>
          </w:p>
        </w:tc>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Histogram or scatter, seeded rerun</w:t>
            </w:r>
          </w:p>
        </w:tc>
        <w:tc>
          <w:tcPr>
            <w:tcW w:type="dxa" w:w="3226"/>
            <w:shd w:fill="EDEDED" w:color="auto" w:val="clear"/>
            <w:tcMar>
              <w:top w:type="dxa" w:w="80"/>
              <w:left w:type="dxa" w:w="100"/>
              <w:bottom w:type="dxa" w:w="80"/>
              <w:right w:type="dxa" w:w="100"/>
            </w:tcMar>
          </w:tcPr>
          <w:p>
            <w:pPr>
              <w:jc w:val="left"/>
            </w:pPr>
            <w:r>
              <w:rPr>
                <w:b w:val="false"/>
                <w:bCs w:val="false"/>
                <w:color w:val="000000"/>
                <w:sz w:val="19"/>
                <w:szCs w:val="19"/>
              </w:rPr>
              <w:t xml:space="preserve">Shows whether a subset of episodes drives the large QACT variance, as recommended previously</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Equipment/algorithm sensitivity (if §8 of the companion research document is run)</w:t>
            </w:r>
          </w:p>
        </w:tc>
        <w:tc>
          <w:tcPr>
            <w:tcW w:type="dxa" w:w="2621"/>
            <w:tcMar>
              <w:top w:type="dxa" w:w="80"/>
              <w:left w:type="dxa" w:w="100"/>
              <w:bottom w:type="dxa" w:w="80"/>
              <w:right w:type="dxa" w:w="100"/>
            </w:tcMar>
          </w:tcPr>
          <w:p>
            <w:pPr>
              <w:jc w:val="left"/>
            </w:pPr>
            <w:r>
              <w:rPr>
                <w:b w:val="false"/>
                <w:bCs w:val="false"/>
                <w:color w:val="000000"/>
                <w:sz w:val="19"/>
                <w:szCs w:val="19"/>
              </w:rPr>
              <w:t xml:space="preserve">Sensitivity grid results</w:t>
            </w:r>
          </w:p>
        </w:tc>
        <w:tc>
          <w:tcPr>
            <w:tcW w:type="dxa" w:w="2016"/>
            <w:tcMar>
              <w:top w:type="dxa" w:w="80"/>
              <w:left w:type="dxa" w:w="100"/>
              <w:bottom w:type="dxa" w:w="80"/>
              <w:right w:type="dxa" w:w="100"/>
            </w:tcMar>
          </w:tcPr>
          <w:p>
            <w:pPr>
              <w:jc w:val="left"/>
            </w:pPr>
            <w:r>
              <w:rPr>
                <w:b w:val="false"/>
                <w:bCs w:val="false"/>
                <w:color w:val="000000"/>
                <w:sz w:val="19"/>
                <w:szCs w:val="19"/>
              </w:rPr>
              <w:t xml:space="preserve">Heatmap</w:t>
            </w:r>
          </w:p>
        </w:tc>
        <w:tc>
          <w:tcPr>
            <w:tcW w:type="dxa" w:w="3226"/>
            <w:tcMar>
              <w:top w:type="dxa" w:w="80"/>
              <w:left w:type="dxa" w:w="100"/>
              <w:bottom w:type="dxa" w:w="80"/>
              <w:right w:type="dxa" w:w="100"/>
            </w:tcMar>
          </w:tcPr>
          <w:p>
            <w:pPr>
              <w:jc w:val="left"/>
            </w:pPr>
            <w:r>
              <w:rPr>
                <w:b w:val="false"/>
                <w:bCs w:val="false"/>
                <w:color w:val="000000"/>
                <w:sz w:val="19"/>
                <w:szCs w:val="19"/>
              </w:rPr>
              <w:t xml:space="preserve">Visualizes the two-axis sensitivity story in one panel</w:t>
            </w:r>
          </w:p>
        </w:tc>
      </w:tr>
    </w:tbl>
    <w:p>
      <w:r>
        <w:br w:type="page"/>
      </w:r>
    </w:p>
    <w:p>
      <w:pPr>
        <w:pStyle w:val="Heading1"/>
        <w:pBdr>
          <w:bottom w:val="single" w:color="1F3864" w:sz="8" w:space="4"/>
        </w:pBdr>
        <w:spacing w:after="160" w:before="360"/>
      </w:pPr>
      <w:r>
        <w:rPr>
          <w:b/>
          <w:bCs/>
          <w:color w:val="1F3864"/>
          <w:sz w:val="30"/>
          <w:szCs w:val="30"/>
        </w:rPr>
        <w:t xml:space="preserve">6. Fix the Quantum Environment's Physics/Alignment Issues</w:t>
      </w:r>
    </w:p>
    <w:p>
      <w:pPr>
        <w:spacing w:after="160" w:line="276"/>
      </w:pPr>
      <w:r>
        <w:rPr>
          <w:sz w:val="21"/>
          <w:szCs w:val="21"/>
        </w:rPr>
        <w:t xml:space="preserve">Condensed checklist (full rationale and evidence already established in the prior planning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1F3864" w:color="auto" w:val="clear"/>
            <w:tcMar>
              <w:top w:type="dxa" w:w="80"/>
              <w:left w:type="dxa" w:w="100"/>
              <w:bottom w:type="dxa" w:w="80"/>
              <w:right w:type="dxa" w:w="100"/>
            </w:tcMar>
          </w:tcPr>
          <w:p>
            <w:pPr>
              <w:jc w:val="left"/>
            </w:pPr>
            <w:r>
              <w:rPr>
                <w:b/>
                <w:bCs/>
                <w:color w:val="FFFFFF"/>
                <w:sz w:val="19"/>
                <w:szCs w:val="19"/>
              </w:rPr>
              <w:t xml:space="preserve">Fix</w:t>
            </w:r>
          </w:p>
        </w:tc>
        <w:tc>
          <w:tcPr>
            <w:tcW w:type="dxa" w:w="7661"/>
            <w:shd w:fill="1F3864" w:color="auto" w:val="clear"/>
            <w:tcMar>
              <w:top w:type="dxa" w:w="80"/>
              <w:left w:type="dxa" w:w="100"/>
              <w:bottom w:type="dxa" w:w="80"/>
              <w:right w:type="dxa" w:w="100"/>
            </w:tcMar>
          </w:tcPr>
          <w:p>
            <w:pPr>
              <w:jc w:val="left"/>
            </w:pPr>
            <w:r>
              <w:rPr>
                <w:b/>
                <w:bCs/>
                <w:color w:val="FFFFFF"/>
                <w:sz w:val="19"/>
                <w:szCs w:val="19"/>
              </w:rPr>
              <w:t xml:space="preserve">Detail</w:t>
            </w:r>
          </w:p>
        </w:tc>
      </w:tr>
      <w:tr>
        <w:tc>
          <w:tcPr>
            <w:tcW w:type="dxa" w:w="2419"/>
            <w:tcMar>
              <w:top w:type="dxa" w:w="80"/>
              <w:left w:type="dxa" w:w="100"/>
              <w:bottom w:type="dxa" w:w="80"/>
              <w:right w:type="dxa" w:w="100"/>
            </w:tcMar>
          </w:tcPr>
          <w:p>
            <w:pPr>
              <w:jc w:val="left"/>
            </w:pPr>
            <w:r>
              <w:rPr>
                <w:b w:val="false"/>
                <w:bCs w:val="false"/>
                <w:color w:val="000000"/>
                <w:sz w:val="19"/>
                <w:szCs w:val="19"/>
              </w:rPr>
              <w:t xml:space="preserve">Align the observation vector</w:t>
            </w:r>
          </w:p>
        </w:tc>
        <w:tc>
          <w:tcPr>
            <w:tcW w:type="dxa" w:w="7661"/>
            <w:tcMar>
              <w:top w:type="dxa" w:w="80"/>
              <w:left w:type="dxa" w:w="100"/>
              <w:bottom w:type="dxa" w:w="80"/>
              <w:right w:type="dxa" w:w="100"/>
            </w:tcMar>
          </w:tcPr>
          <w:p>
            <w:pPr>
              <w:jc w:val="left"/>
            </w:pPr>
            <w:r>
              <w:rPr>
                <w:b w:val="false"/>
                <w:bCs w:val="false"/>
                <w:color w:val="000000"/>
                <w:sz w:val="19"/>
                <w:szCs w:val="19"/>
              </w:rPr>
              <w:t xml:space="preserve">Match classical V4's exact order and scaling: [norm_freq, ema_amp, prev_ema_amp, prev_action, amp_gradient], gradient clipped to ±1, computed as Δamp·3000/(Δfreq+1).</w:t>
            </w:r>
          </w:p>
        </w:tc>
      </w:tr>
      <w:tr>
        <w:tc>
          <w:tcPr>
            <w:tcW w:type="dxa" w:w="2419"/>
            <w:shd w:fill="EDEDED" w:color="auto" w:val="clear"/>
            <w:tcMar>
              <w:top w:type="dxa" w:w="80"/>
              <w:left w:type="dxa" w:w="100"/>
              <w:bottom w:type="dxa" w:w="80"/>
              <w:right w:type="dxa" w:w="100"/>
            </w:tcMar>
          </w:tcPr>
          <w:p>
            <w:pPr>
              <w:jc w:val="left"/>
            </w:pPr>
            <w:r>
              <w:rPr>
                <w:b w:val="false"/>
                <w:bCs w:val="false"/>
                <w:color w:val="000000"/>
                <w:sz w:val="19"/>
                <w:szCs w:val="19"/>
              </w:rPr>
              <w:t xml:space="preserve">Match or normalize the resonance linewidth</w:t>
            </w:r>
          </w:p>
        </w:tc>
        <w:tc>
          <w:tcPr>
            <w:tcW w:type="dxa" w:w="7661"/>
            <w:shd w:fill="EDEDED" w:color="auto" w:val="clear"/>
            <w:tcMar>
              <w:top w:type="dxa" w:w="80"/>
              <w:left w:type="dxa" w:w="100"/>
              <w:bottom w:type="dxa" w:w="80"/>
              <w:right w:type="dxa" w:w="100"/>
            </w:tcMar>
          </w:tcPr>
          <w:p>
            <w:pPr>
              <w:jc w:val="left"/>
            </w:pPr>
            <w:r>
              <w:rPr>
                <w:b w:val="false"/>
                <w:bCs w:val="false"/>
                <w:color w:val="000000"/>
                <w:sz w:val="19"/>
                <w:szCs w:val="19"/>
              </w:rPr>
              <w:t xml:space="preserve">Raise omega_rabi to ≈5000 Hz to match the classical ±3333 Hz near-resonance band, or keep 2500 Hz and report a width-normalized metric with the asymmetry disclosed.</w:t>
            </w:r>
          </w:p>
        </w:tc>
      </w:tr>
      <w:tr>
        <w:tc>
          <w:tcPr>
            <w:tcW w:type="dxa" w:w="2419"/>
            <w:tcMar>
              <w:top w:type="dxa" w:w="80"/>
              <w:left w:type="dxa" w:w="100"/>
              <w:bottom w:type="dxa" w:w="80"/>
              <w:right w:type="dxa" w:w="100"/>
            </w:tcMar>
          </w:tcPr>
          <w:p>
            <w:pPr>
              <w:jc w:val="left"/>
            </w:pPr>
            <w:r>
              <w:rPr>
                <w:b w:val="false"/>
                <w:bCs w:val="false"/>
                <w:color w:val="000000"/>
                <w:sz w:val="19"/>
                <w:szCs w:val="19"/>
              </w:rPr>
              <w:t xml:space="preserve">Port the full shaped reward</w:t>
            </w:r>
          </w:p>
        </w:tc>
        <w:tc>
          <w:tcPr>
            <w:tcW w:type="dxa" w:w="7661"/>
            <w:tcMar>
              <w:top w:type="dxa" w:w="80"/>
              <w:left w:type="dxa" w:w="100"/>
              <w:bottom w:type="dxa" w:w="80"/>
              <w:right w:type="dxa" w:w="100"/>
            </w:tcMar>
          </w:tcPr>
          <w:p>
            <w:pPr>
              <w:jc w:val="left"/>
            </w:pPr>
            <w:r>
              <w:rPr>
                <w:b w:val="false"/>
                <w:bCs w:val="false"/>
                <w:color w:val="000000"/>
                <w:sz w:val="19"/>
                <w:szCs w:val="19"/>
              </w:rPr>
              <w:t xml:space="preserve">Gradient bonus, action-cost penalty, low-amplitude penalty, 3-step dead termination — not reward = amp alone.</w:t>
            </w:r>
          </w:p>
        </w:tc>
      </w:tr>
      <w:tr>
        <w:tc>
          <w:tcPr>
            <w:tcW w:type="dxa" w:w="2419"/>
            <w:shd w:fill="EDEDED" w:color="auto" w:val="clear"/>
            <w:tcMar>
              <w:top w:type="dxa" w:w="80"/>
              <w:left w:type="dxa" w:w="100"/>
              <w:bottom w:type="dxa" w:w="80"/>
              <w:right w:type="dxa" w:w="100"/>
            </w:tcMar>
          </w:tcPr>
          <w:p>
            <w:pPr>
              <w:jc w:val="left"/>
            </w:pPr>
            <w:r>
              <w:rPr>
                <w:b w:val="false"/>
                <w:bCs w:val="false"/>
                <w:color w:val="000000"/>
                <w:sz w:val="19"/>
                <w:szCs w:val="19"/>
              </w:rPr>
              <w:t xml:space="preserve">Restore action_scale = 3000</w:t>
            </w:r>
          </w:p>
        </w:tc>
        <w:tc>
          <w:tcPr>
            <w:tcW w:type="dxa" w:w="7661"/>
            <w:shd w:fill="EDEDED" w:color="auto" w:val="clear"/>
            <w:tcMar>
              <w:top w:type="dxa" w:w="80"/>
              <w:left w:type="dxa" w:w="100"/>
              <w:bottom w:type="dxa" w:w="80"/>
              <w:right w:type="dxa" w:w="100"/>
            </w:tcMar>
          </w:tcPr>
          <w:p>
            <w:pPr>
              <w:jc w:val="left"/>
            </w:pPr>
            <w:r>
              <w:rPr>
                <w:b w:val="false"/>
                <w:bCs w:val="false"/>
                <w:color w:val="000000"/>
                <w:sz w:val="19"/>
                <w:szCs w:val="19"/>
              </w:rPr>
              <w:t xml:space="preserve">Currently cut to 1000 in the Qiskit env, making the agent under-agile relative to the drift rate.</w:t>
            </w:r>
          </w:p>
        </w:tc>
      </w:tr>
      <w:tr>
        <w:tc>
          <w:tcPr>
            <w:tcW w:type="dxa" w:w="2419"/>
            <w:tcMar>
              <w:top w:type="dxa" w:w="80"/>
              <w:left w:type="dxa" w:w="100"/>
              <w:bottom w:type="dxa" w:w="80"/>
              <w:right w:type="dxa" w:w="100"/>
            </w:tcMar>
          </w:tcPr>
          <w:p>
            <w:pPr>
              <w:jc w:val="left"/>
            </w:pPr>
            <w:r>
              <w:rPr>
                <w:b w:val="false"/>
                <w:bCs w:val="false"/>
                <w:color w:val="000000"/>
                <w:sz w:val="19"/>
                <w:szCs w:val="19"/>
              </w:rPr>
              <w:t xml:space="preserve">Seed everything</w:t>
            </w:r>
          </w:p>
        </w:tc>
        <w:tc>
          <w:tcPr>
            <w:tcW w:type="dxa" w:w="7661"/>
            <w:tcMar>
              <w:top w:type="dxa" w:w="80"/>
              <w:left w:type="dxa" w:w="100"/>
              <w:bottom w:type="dxa" w:w="80"/>
              <w:right w:type="dxa" w:w="100"/>
            </w:tcMar>
          </w:tcPr>
          <w:p>
            <w:pPr>
              <w:jc w:val="left"/>
            </w:pPr>
            <w:r>
              <w:rPr>
                <w:b w:val="false"/>
                <w:bCs w:val="false"/>
                <w:color w:val="000000"/>
                <w:sz w:val="19"/>
                <w:szCs w:val="19"/>
              </w:rPr>
              <w:t xml:space="preserve">AerSimulator, every RNG in the classical and Qiskit envs, and the PID grid search.</w:t>
            </w:r>
          </w:p>
        </w:tc>
      </w:tr>
    </w:tbl>
    <w:p>
      <w:pPr>
        <w:pStyle w:val="Heading1"/>
        <w:pBdr>
          <w:bottom w:val="single" w:color="1F3864" w:sz="8" w:space="4"/>
        </w:pBdr>
        <w:spacing w:after="160" w:before="360"/>
      </w:pPr>
      <w:r>
        <w:rPr>
          <w:b/>
          <w:bCs/>
          <w:color w:val="1F3864"/>
          <w:sz w:val="30"/>
          <w:szCs w:val="30"/>
        </w:rPr>
        <w:t xml:space="preserve">7. Zero-Shot Then Fine-Tuned: The Exact Quantum-Environment Protocol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6048"/>
        <w:gridCol w:w="3226"/>
      </w:tblGrid>
      <w:tr>
        <w:trPr>
          <w:tblHeader/>
        </w:trPr>
        <w:tc>
          <w:tcPr>
            <w:tcW w:type="dxa" w:w="806"/>
            <w:shd w:fill="1F3864" w:color="auto" w:val="clear"/>
            <w:tcMar>
              <w:top w:type="dxa" w:w="80"/>
              <w:left w:type="dxa" w:w="100"/>
              <w:bottom w:type="dxa" w:w="80"/>
              <w:right w:type="dxa" w:w="100"/>
            </w:tcMar>
          </w:tcPr>
          <w:p>
            <w:pPr>
              <w:jc w:val="left"/>
            </w:pPr>
            <w:r>
              <w:rPr>
                <w:b/>
                <w:bCs/>
                <w:color w:val="FFFFFF"/>
                <w:sz w:val="19"/>
                <w:szCs w:val="19"/>
              </w:rPr>
              <w:t xml:space="preserve">Step</w:t>
            </w:r>
          </w:p>
        </w:tc>
        <w:tc>
          <w:tcPr>
            <w:tcW w:type="dxa" w:w="6048"/>
            <w:shd w:fill="1F3864" w:color="auto" w:val="clear"/>
            <w:tcMar>
              <w:top w:type="dxa" w:w="80"/>
              <w:left w:type="dxa" w:w="100"/>
              <w:bottom w:type="dxa" w:w="80"/>
              <w:right w:type="dxa" w:w="100"/>
            </w:tcMar>
          </w:tcPr>
          <w:p>
            <w:pPr>
              <w:jc w:val="left"/>
            </w:pPr>
            <w:r>
              <w:rPr>
                <w:b/>
                <w:bCs/>
                <w:color w:val="FFFFFF"/>
                <w:sz w:val="19"/>
                <w:szCs w:val="19"/>
              </w:rPr>
              <w:t xml:space="preserve">Action</w:t>
            </w:r>
          </w:p>
        </w:tc>
        <w:tc>
          <w:tcPr>
            <w:tcW w:type="dxa" w:w="3226"/>
            <w:shd w:fill="1F3864" w:color="auto" w:val="clear"/>
            <w:tcMar>
              <w:top w:type="dxa" w:w="80"/>
              <w:left w:type="dxa" w:w="100"/>
              <w:bottom w:type="dxa" w:w="80"/>
              <w:right w:type="dxa" w:w="100"/>
            </w:tcMar>
          </w:tcPr>
          <w:p>
            <w:pPr>
              <w:jc w:val="left"/>
            </w:pPr>
            <w:r>
              <w:rPr>
                <w:b/>
                <w:bCs/>
                <w:color w:val="FFFFFF"/>
                <w:sz w:val="19"/>
                <w:szCs w:val="19"/>
              </w:rPr>
              <w:t xml:space="preserve">Record</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A</w:t>
            </w:r>
          </w:p>
        </w:tc>
        <w:tc>
          <w:tcPr>
            <w:tcW w:type="dxa" w:w="6048"/>
            <w:tcMar>
              <w:top w:type="dxa" w:w="80"/>
              <w:left w:type="dxa" w:w="100"/>
              <w:bottom w:type="dxa" w:w="80"/>
              <w:right w:type="dxa" w:w="100"/>
            </w:tcMar>
          </w:tcPr>
          <w:p>
            <w:pPr>
              <w:jc w:val="left"/>
            </w:pPr>
            <w:r>
              <w:rPr>
                <w:b w:val="false"/>
                <w:bCs w:val="false"/>
                <w:color w:val="000000"/>
                <w:sz w:val="19"/>
                <w:szCs w:val="19"/>
              </w:rPr>
              <w:t xml:space="preserve">With all §6 fixes applied, run the current (frozen) V4 policy zero-shot in the aligned Qiskit environment, 5 seeds, ≥4096 shots per evaluation.</w:t>
            </w:r>
          </w:p>
        </w:tc>
        <w:tc>
          <w:tcPr>
            <w:tcW w:type="dxa" w:w="3226"/>
            <w:tcMar>
              <w:top w:type="dxa" w:w="80"/>
              <w:left w:type="dxa" w:w="100"/>
              <w:bottom w:type="dxa" w:w="80"/>
              <w:right w:type="dxa" w:w="100"/>
            </w:tcMar>
          </w:tcPr>
          <w:p>
            <w:pPr>
              <w:jc w:val="left"/>
            </w:pPr>
            <w:r>
              <w:rPr>
                <w:b w:val="false"/>
                <w:bCs w:val="false"/>
                <w:color w:val="000000"/>
                <w:sz w:val="19"/>
                <w:szCs w:val="19"/>
              </w:rPr>
              <w:t xml:space="preserve">MAE mean±std, near-resonance, low-amplitude — this is the “zero-shot cross-simulator transfer” number</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B</w:t>
            </w:r>
          </w:p>
        </w:tc>
        <w:tc>
          <w:tcPr>
            <w:tcW w:type="dxa" w:w="6048"/>
            <w:shd w:fill="EDEDED" w:color="auto" w:val="clear"/>
            <w:tcMar>
              <w:top w:type="dxa" w:w="80"/>
              <w:left w:type="dxa" w:w="100"/>
              <w:bottom w:type="dxa" w:w="80"/>
              <w:right w:type="dxa" w:w="100"/>
            </w:tcMar>
          </w:tcPr>
          <w:p>
            <w:pPr>
              <w:jc w:val="left"/>
            </w:pPr>
            <w:r>
              <w:rPr>
                <w:b w:val="false"/>
                <w:bCs w:val="false"/>
                <w:color w:val="000000"/>
                <w:sz w:val="19"/>
                <w:szCs w:val="19"/>
              </w:rPr>
              <w:t xml:space="preserve">Fine-tune from that same starting checkpoint for a small, explicitly-stated budget (e.g., 5–10% of the original 2M-step budget) inside the aligned Qiskit environment, with multiple parallel envs rather than one DummyVecEnv.</w:t>
            </w:r>
          </w:p>
        </w:tc>
        <w:tc>
          <w:tcPr>
            <w:tcW w:type="dxa" w:w="3226"/>
            <w:shd w:fill="EDEDED" w:color="auto" w:val="clear"/>
            <w:tcMar>
              <w:top w:type="dxa" w:w="80"/>
              <w:left w:type="dxa" w:w="100"/>
              <w:bottom w:type="dxa" w:w="80"/>
              <w:right w:type="dxa" w:w="100"/>
            </w:tcMar>
          </w:tcPr>
          <w:p>
            <w:pPr>
              <w:jc w:val="left"/>
            </w:pPr>
            <w:r>
              <w:rPr>
                <w:b w:val="false"/>
                <w:bCs w:val="false"/>
                <w:color w:val="000000"/>
                <w:sz w:val="19"/>
                <w:szCs w:val="19"/>
              </w:rPr>
              <w:t xml:space="preserve">Save as a separately labeled checkpoint (e.g., V4-QACT-finetuned) — never overwrite or retrain the locked V4 itself</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C</w:t>
            </w:r>
          </w:p>
        </w:tc>
        <w:tc>
          <w:tcPr>
            <w:tcW w:type="dxa" w:w="6048"/>
            <w:tcMar>
              <w:top w:type="dxa" w:w="80"/>
              <w:left w:type="dxa" w:w="100"/>
              <w:bottom w:type="dxa" w:w="80"/>
              <w:right w:type="dxa" w:w="100"/>
            </w:tcMar>
          </w:tcPr>
          <w:p>
            <w:pPr>
              <w:jc w:val="left"/>
            </w:pPr>
            <w:r>
              <w:rPr>
                <w:b w:val="false"/>
                <w:bCs w:val="false"/>
                <w:color w:val="000000"/>
                <w:sz w:val="19"/>
                <w:szCs w:val="19"/>
              </w:rPr>
              <w:t xml:space="preserve">Evaluate the fine-tuned checkpoint the same way as Step A, same 5 seeds, same shot budget.</w:t>
            </w:r>
          </w:p>
        </w:tc>
        <w:tc>
          <w:tcPr>
            <w:tcW w:type="dxa" w:w="3226"/>
            <w:tcMar>
              <w:top w:type="dxa" w:w="80"/>
              <w:left w:type="dxa" w:w="100"/>
              <w:bottom w:type="dxa" w:w="80"/>
              <w:right w:type="dxa" w:w="100"/>
            </w:tcMar>
          </w:tcPr>
          <w:p>
            <w:pPr>
              <w:jc w:val="left"/>
            </w:pPr>
            <w:r>
              <w:rPr>
                <w:b w:val="false"/>
                <w:bCs w:val="false"/>
                <w:color w:val="000000"/>
                <w:sz w:val="19"/>
                <w:szCs w:val="19"/>
              </w:rPr>
              <w:t xml:space="preserve">MAE mean±std, near-resonance, low-amplitude — the “fine-tuned transfer” number</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D</w:t>
            </w:r>
          </w:p>
        </w:tc>
        <w:tc>
          <w:tcPr>
            <w:tcW w:type="dxa" w:w="6048"/>
            <w:shd w:fill="EDEDED" w:color="auto" w:val="clear"/>
            <w:tcMar>
              <w:top w:type="dxa" w:w="80"/>
              <w:left w:type="dxa" w:w="100"/>
              <w:bottom w:type="dxa" w:w="80"/>
              <w:right w:type="dxa" w:w="100"/>
            </w:tcMar>
          </w:tcPr>
          <w:p>
            <w:pPr>
              <w:jc w:val="left"/>
            </w:pPr>
            <w:r>
              <w:rPr>
                <w:b w:val="false"/>
                <w:bCs w:val="false"/>
                <w:color w:val="000000"/>
                <w:sz w:val="19"/>
                <w:szCs w:val="19"/>
              </w:rPr>
              <w:t xml:space="preserve">Report A and C side by side, plus the classical V4 aggregate for reference, in the §8 table below.</w:t>
            </w:r>
          </w:p>
        </w:tc>
        <w:tc>
          <w:tcPr>
            <w:tcW w:type="dxa" w:w="3226"/>
            <w:shd w:fill="EDEDED" w:color="auto" w:val="clear"/>
            <w:tcMar>
              <w:top w:type="dxa" w:w="80"/>
              <w:left w:type="dxa" w:w="100"/>
              <w:bottom w:type="dxa" w:w="80"/>
              <w:right w:type="dxa" w:w="100"/>
            </w:tcMar>
          </w:tcPr>
          <w:p>
            <w:pPr>
              <w:jc w:val="left"/>
            </w:pPr>
            <w:r>
              <w:rPr>
                <w:b w:val="false"/>
                <w:bCs w:val="false"/>
                <w:color w:val="000000"/>
                <w:sz w:val="19"/>
                <w:szCs w:val="19"/>
              </w:rPr>
              <w:t xml:space="preserve">This full triplet is the actual publishable result — not either number alone</w:t>
            </w:r>
          </w:p>
        </w:tc>
      </w:tr>
    </w:tbl>
    <w:p>
      <w:pPr>
        <w:pStyle w:val="Heading1"/>
        <w:pBdr>
          <w:bottom w:val="single" w:color="1F3864" w:sz="8" w:space="4"/>
        </w:pBdr>
        <w:spacing w:after="160" w:before="360"/>
      </w:pPr>
      <w:r>
        <w:rPr>
          <w:b/>
          <w:bCs/>
          <w:color w:val="1F3864"/>
          <w:sz w:val="30"/>
          <w:szCs w:val="30"/>
        </w:rPr>
        <w:t xml:space="preserve">8. Classical-to-Quantum Tabulation Template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1613"/>
        <w:gridCol w:w="1613"/>
        <w:gridCol w:w="1613"/>
        <w:gridCol w:w="1008"/>
        <w:gridCol w:w="1613"/>
      </w:tblGrid>
      <w:tr>
        <w:trPr>
          <w:tblHeader/>
        </w:trPr>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Environment</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MAE (Hz)</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Near-resonance</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Low-amplitude</w:t>
            </w:r>
          </w:p>
        </w:tc>
        <w:tc>
          <w:tcPr>
            <w:tcW w:type="dxa" w:w="1008"/>
            <w:shd w:fill="1F3864" w:color="auto" w:val="clear"/>
            <w:tcMar>
              <w:top w:type="dxa" w:w="80"/>
              <w:left w:type="dxa" w:w="100"/>
              <w:bottom w:type="dxa" w:w="80"/>
              <w:right w:type="dxa" w:w="100"/>
            </w:tcMar>
          </w:tcPr>
          <w:p>
            <w:pPr>
              <w:jc w:val="left"/>
            </w:pPr>
            <w:r>
              <w:rPr>
                <w:b/>
                <w:bCs/>
                <w:color w:val="FFFFFF"/>
                <w:sz w:val="19"/>
                <w:szCs w:val="19"/>
              </w:rPr>
              <w:t xml:space="preserve">Seeds</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Notes</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Classical V4 (aggregate)</w:t>
            </w:r>
          </w:p>
        </w:tc>
        <w:tc>
          <w:tcPr>
            <w:tcW w:type="dxa" w:w="1613"/>
            <w:tcMar>
              <w:top w:type="dxa" w:w="80"/>
              <w:left w:type="dxa" w:w="100"/>
              <w:bottom w:type="dxa" w:w="80"/>
              <w:right w:type="dxa" w:w="100"/>
            </w:tcMar>
          </w:tcPr>
          <w:p>
            <w:pPr>
              <w:jc w:val="left"/>
            </w:pPr>
            <w:r>
              <w:rPr>
                <w:b w:val="false"/>
                <w:bCs w:val="false"/>
                <w:color w:val="000000"/>
                <w:sz w:val="19"/>
                <w:szCs w:val="19"/>
              </w:rPr>
              <w:t xml:space="preserve">2205 ± 518</w:t>
            </w:r>
          </w:p>
        </w:tc>
        <w:tc>
          <w:tcPr>
            <w:tcW w:type="dxa" w:w="1613"/>
            <w:tcMar>
              <w:top w:type="dxa" w:w="80"/>
              <w:left w:type="dxa" w:w="100"/>
              <w:bottom w:type="dxa" w:w="80"/>
              <w:right w:type="dxa" w:w="100"/>
            </w:tcMar>
          </w:tcPr>
          <w:p>
            <w:pPr>
              <w:jc w:val="left"/>
            </w:pPr>
            <w:r>
              <w:rPr>
                <w:b w:val="false"/>
                <w:bCs w:val="false"/>
                <w:color w:val="000000"/>
                <w:sz w:val="19"/>
                <w:szCs w:val="19"/>
              </w:rPr>
              <w:t xml:space="preserve">84.8% ± 7.6%</w:t>
            </w:r>
          </w:p>
        </w:tc>
        <w:tc>
          <w:tcPr>
            <w:tcW w:type="dxa" w:w="1613"/>
            <w:tcMar>
              <w:top w:type="dxa" w:w="80"/>
              <w:left w:type="dxa" w:w="100"/>
              <w:bottom w:type="dxa" w:w="80"/>
              <w:right w:type="dxa" w:w="100"/>
            </w:tcMar>
          </w:tcPr>
          <w:p>
            <w:pPr>
              <w:jc w:val="left"/>
            </w:pPr>
            <w:r>
              <w:rPr>
                <w:b w:val="false"/>
                <w:bCs w:val="false"/>
                <w:color w:val="000000"/>
                <w:sz w:val="19"/>
                <w:szCs w:val="19"/>
              </w:rPr>
              <w:t xml:space="preserve">5.1% ± 3.7%</w:t>
            </w:r>
          </w:p>
        </w:tc>
        <w:tc>
          <w:tcPr>
            <w:tcW w:type="dxa" w:w="1008"/>
            <w:tcMar>
              <w:top w:type="dxa" w:w="80"/>
              <w:left w:type="dxa" w:w="100"/>
              <w:bottom w:type="dxa" w:w="80"/>
              <w:right w:type="dxa" w:w="100"/>
            </w:tcMar>
          </w:tcPr>
          <w:p>
            <w:pPr>
              <w:jc w:val="left"/>
            </w:pPr>
            <w:r>
              <w:rPr>
                <w:b w:val="false"/>
                <w:bCs w:val="false"/>
                <w:color w:val="000000"/>
                <w:sz w:val="19"/>
                <w:szCs w:val="19"/>
              </w:rPr>
              <w:t xml:space="preserve">5</w:t>
            </w:r>
          </w:p>
        </w:tc>
        <w:tc>
          <w:tcPr>
            <w:tcW w:type="dxa" w:w="1613"/>
            <w:tcMar>
              <w:top w:type="dxa" w:w="80"/>
              <w:left w:type="dxa" w:w="100"/>
              <w:bottom w:type="dxa" w:w="80"/>
              <w:right w:type="dxa" w:w="100"/>
            </w:tcMar>
          </w:tcPr>
          <w:p>
            <w:pPr>
              <w:jc w:val="left"/>
            </w:pPr>
            <w:r>
              <w:rPr>
                <w:b w:val="false"/>
                <w:bCs w:val="false"/>
                <w:color w:val="000000"/>
                <w:sz w:val="19"/>
                <w:szCs w:val="19"/>
              </w:rPr>
              <w:t xml:space="preserve">Reference / upper bound</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Qiskit, as-committed (misaligned)</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2964 ± 2473</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32.8%</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21.2%</w:t>
            </w:r>
          </w:p>
        </w:tc>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1 (diagnostic only)</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Kept only to show the effect of the alignment fix — not a result to build conclusions on</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Qiskit, aligned, zero-shot</w:t>
            </w:r>
          </w:p>
        </w:tc>
        <w:tc>
          <w:tcPr>
            <w:tcW w:type="dxa" w:w="1613"/>
            <w:tcMar>
              <w:top w:type="dxa" w:w="80"/>
              <w:left w:type="dxa" w:w="100"/>
              <w:bottom w:type="dxa" w:w="80"/>
              <w:right w:type="dxa" w:w="100"/>
            </w:tcMar>
          </w:tcPr>
          <w:p>
            <w:pPr>
              <w:jc w:val="left"/>
            </w:pPr>
            <w:r>
              <w:rPr>
                <w:b w:val="false"/>
                <w:bCs w:val="false"/>
                <w:color w:val="000000"/>
                <w:sz w:val="19"/>
                <w:szCs w:val="19"/>
              </w:rPr>
              <w:t xml:space="preserve">[fill in from §7 Step A]</w:t>
            </w:r>
          </w:p>
        </w:tc>
        <w:tc>
          <w:tcPr>
            <w:tcW w:type="dxa" w:w="1613"/>
            <w:tcMar>
              <w:top w:type="dxa" w:w="80"/>
              <w:left w:type="dxa" w:w="100"/>
              <w:bottom w:type="dxa" w:w="80"/>
              <w:right w:type="dxa" w:w="100"/>
            </w:tcMar>
          </w:tcPr>
          <w:p>
            <w:pPr>
              <w:jc w:val="left"/>
            </w:pPr>
            <w:r>
              <w:rPr>
                <w:b w:val="false"/>
                <w:bCs w:val="false"/>
                <w:color w:val="000000"/>
                <w:sz w:val="19"/>
                <w:szCs w:val="19"/>
              </w:rPr>
              <w:t xml:space="preserve">[fill in]</w:t>
            </w:r>
          </w:p>
        </w:tc>
        <w:tc>
          <w:tcPr>
            <w:tcW w:type="dxa" w:w="1613"/>
            <w:tcMar>
              <w:top w:type="dxa" w:w="80"/>
              <w:left w:type="dxa" w:w="100"/>
              <w:bottom w:type="dxa" w:w="80"/>
              <w:right w:type="dxa" w:w="100"/>
            </w:tcMar>
          </w:tcPr>
          <w:p>
            <w:pPr>
              <w:jc w:val="left"/>
            </w:pPr>
            <w:r>
              <w:rPr>
                <w:b w:val="false"/>
                <w:bCs w:val="false"/>
                <w:color w:val="000000"/>
                <w:sz w:val="19"/>
                <w:szCs w:val="19"/>
              </w:rPr>
              <w:t xml:space="preserve">[fill in]</w:t>
            </w:r>
          </w:p>
        </w:tc>
        <w:tc>
          <w:tcPr>
            <w:tcW w:type="dxa" w:w="1008"/>
            <w:tcMar>
              <w:top w:type="dxa" w:w="80"/>
              <w:left w:type="dxa" w:w="100"/>
              <w:bottom w:type="dxa" w:w="80"/>
              <w:right w:type="dxa" w:w="100"/>
            </w:tcMar>
          </w:tcPr>
          <w:p>
            <w:pPr>
              <w:jc w:val="left"/>
            </w:pPr>
            <w:r>
              <w:rPr>
                <w:b w:val="false"/>
                <w:bCs w:val="false"/>
                <w:color w:val="000000"/>
                <w:sz w:val="19"/>
                <w:szCs w:val="19"/>
              </w:rPr>
              <w:t xml:space="preserve">5</w:t>
            </w:r>
          </w:p>
        </w:tc>
        <w:tc>
          <w:tcPr>
            <w:tcW w:type="dxa" w:w="1613"/>
            <w:tcMar>
              <w:top w:type="dxa" w:w="80"/>
              <w:left w:type="dxa" w:w="100"/>
              <w:bottom w:type="dxa" w:w="80"/>
              <w:right w:type="dxa" w:w="100"/>
            </w:tcMar>
          </w:tcPr>
          <w:p>
            <w:pPr>
              <w:jc w:val="left"/>
            </w:pPr>
            <w:r>
              <w:rPr>
                <w:b w:val="false"/>
                <w:bCs w:val="false"/>
                <w:color w:val="000000"/>
                <w:sz w:val="19"/>
                <w:szCs w:val="19"/>
              </w:rPr>
              <w:t xml:space="preserve">The real zero-shot transfer number</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Qiskit, aligned, fine-tuned</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[fill in from §7 Step C]</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[fill in]</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[fill in]</w:t>
            </w:r>
          </w:p>
        </w:tc>
        <w:tc>
          <w:tcPr>
            <w:tcW w:type="dxa" w:w="1008"/>
            <w:shd w:fill="EDEDED" w:color="auto" w:val="clear"/>
            <w:tcMar>
              <w:top w:type="dxa" w:w="80"/>
              <w:left w:type="dxa" w:w="100"/>
              <w:bottom w:type="dxa" w:w="80"/>
              <w:right w:type="dxa" w:w="100"/>
            </w:tcMar>
          </w:tcPr>
          <w:p>
            <w:pPr>
              <w:jc w:val="left"/>
            </w:pPr>
            <w:r>
              <w:rPr>
                <w:b w:val="false"/>
                <w:bCs w:val="false"/>
                <w:color w:val="000000"/>
                <w:sz w:val="19"/>
                <w:szCs w:val="19"/>
              </w:rPr>
              <w:t xml:space="preserve">5</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The real fine-tuned transfer number</w:t>
            </w:r>
          </w:p>
        </w:tc>
      </w:tr>
    </w:tbl>
    <w:p>
      <w:r>
        <w:br w:type="page"/>
      </w:r>
    </w:p>
    <w:p>
      <w:pPr>
        <w:pStyle w:val="Heading1"/>
        <w:pBdr>
          <w:bottom w:val="single" w:color="1F3864" w:sz="8" w:space="4"/>
        </w:pBdr>
        <w:spacing w:after="160" w:before="360"/>
      </w:pPr>
      <w:r>
        <w:rPr>
          <w:b/>
          <w:bCs/>
          <w:color w:val="1F3864"/>
          <w:sz w:val="30"/>
          <w:szCs w:val="30"/>
        </w:rPr>
        <w:t xml:space="preserve">9. On Reframing as a “Review Paper”</w:t>
      </w:r>
    </w:p>
    <w:p>
      <w:pPr>
        <w:spacing w:after="160" w:line="276"/>
      </w:pPr>
      <w:r>
        <w:rPr>
          <w:sz w:val="21"/>
          <w:szCs w:val="21"/>
        </w:rPr>
        <w:t xml:space="preserve">Covered in full, with the specific IEEE Access editorial guidance behind it, in the companion research document's §0. Short version: keep the manuscript type as “Research Article” and get everything you actually wanted (methodology depth, comparisons, future aspects) through a strong related-work/comparative section — declaring it a “Review” or “Survey” risks a desk rejection on type-mismatch grounds given how much original experimental data this paper carries.</w:t>
      </w:r>
    </w:p>
    <w:p>
      <w:pPr>
        <w:pStyle w:val="Heading1"/>
        <w:pBdr>
          <w:bottom w:val="single" w:color="1F3864" w:sz="8" w:space="4"/>
        </w:pBdr>
        <w:spacing w:after="160" w:before="360"/>
      </w:pPr>
      <w:r>
        <w:rPr>
          <w:b/>
          <w:bCs/>
          <w:color w:val="1F3864"/>
          <w:sz w:val="30"/>
          <w:szCs w:val="30"/>
        </w:rPr>
        <w:t xml:space="preserve">10. Repository Restructure and Cleanup</w:t>
      </w:r>
    </w:p>
    <w:p>
      <w:pPr>
        <w:pStyle w:val="Heading2"/>
        <w:spacing w:after="120" w:before="280"/>
      </w:pPr>
      <w:r>
        <w:rPr>
          <w:b/>
          <w:bCs/>
          <w:color w:val="1F3864"/>
          <w:sz w:val="24"/>
          <w:szCs w:val="24"/>
        </w:rPr>
        <w:t xml:space="preserve">10.1 Files to resolve, not just delete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427"/>
        <w:gridCol w:w="4032"/>
      </w:tblGrid>
      <w:tr>
        <w:trPr>
          <w:tblHeader/>
        </w:trPr>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File(s)</w:t>
            </w:r>
          </w:p>
        </w:tc>
        <w:tc>
          <w:tcPr>
            <w:tcW w:type="dxa" w:w="3427"/>
            <w:shd w:fill="1F3864" w:color="auto" w:val="clear"/>
            <w:tcMar>
              <w:top w:type="dxa" w:w="80"/>
              <w:left w:type="dxa" w:w="100"/>
              <w:bottom w:type="dxa" w:w="80"/>
              <w:right w:type="dxa" w:w="100"/>
            </w:tcMar>
          </w:tcPr>
          <w:p>
            <w:pPr>
              <w:jc w:val="left"/>
            </w:pPr>
            <w:r>
              <w:rPr>
                <w:b/>
                <w:bCs/>
                <w:color w:val="FFFFFF"/>
                <w:sz w:val="19"/>
                <w:szCs w:val="19"/>
              </w:rPr>
              <w:t xml:space="preserve">Issue</w:t>
            </w:r>
          </w:p>
        </w:tc>
        <w:tc>
          <w:tcPr>
            <w:tcW w:type="dxa" w:w="4032"/>
            <w:shd w:fill="1F3864" w:color="auto" w:val="clear"/>
            <w:tcMar>
              <w:top w:type="dxa" w:w="80"/>
              <w:left w:type="dxa" w:w="100"/>
              <w:bottom w:type="dxa" w:w="80"/>
              <w:right w:type="dxa" w:w="100"/>
            </w:tcMar>
          </w:tcPr>
          <w:p>
            <w:pPr>
              <w:jc w:val="left"/>
            </w:pPr>
            <w:r>
              <w:rPr>
                <w:b/>
                <w:bCs/>
                <w:color w:val="FFFFFF"/>
                <w:sz w:val="19"/>
                <w:szCs w:val="19"/>
              </w:rPr>
              <w:t xml:space="preserve">Recommended action</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rl_environment_v4.py</w:t>
            </w:r>
          </w:p>
        </w:tc>
        <w:tc>
          <w:tcPr>
            <w:tcW w:type="dxa" w:w="3427"/>
            <w:tcMar>
              <w:top w:type="dxa" w:w="80"/>
              <w:left w:type="dxa" w:w="100"/>
              <w:bottom w:type="dxa" w:w="80"/>
              <w:right w:type="dxa" w:w="100"/>
            </w:tcMar>
          </w:tcPr>
          <w:p>
            <w:pPr>
              <w:jc w:val="left"/>
            </w:pPr>
            <w:r>
              <w:rPr>
                <w:b w:val="false"/>
                <w:bCs w:val="false"/>
                <w:color w:val="000000"/>
                <w:sz w:val="19"/>
                <w:szCs w:val="19"/>
              </w:rPr>
              <w:t xml:space="preserve">Described as an identical backup copy of the real V4 env</w:t>
            </w:r>
          </w:p>
        </w:tc>
        <w:tc>
          <w:tcPr>
            <w:tcW w:type="dxa" w:w="4032"/>
            <w:tcMar>
              <w:top w:type="dxa" w:w="80"/>
              <w:left w:type="dxa" w:w="100"/>
              <w:bottom w:type="dxa" w:w="80"/>
              <w:right w:type="dxa" w:w="100"/>
            </w:tcMar>
          </w:tcPr>
          <w:p>
            <w:pPr>
              <w:jc w:val="left"/>
            </w:pPr>
            <w:r>
              <w:rPr>
                <w:b w:val="false"/>
                <w:bCs w:val="false"/>
                <w:color w:val="000000"/>
                <w:sz w:val="19"/>
                <w:szCs w:val="19"/>
              </w:rPr>
              <w:t xml:space="preserve">Delete; rely on git history for the backup, not a duplicate file</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train_v4_gaussian.py</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Described as an earlier backup of train.py</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Delete or move under a clearly labeled /archive folder excluded from the published repo</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“rl_environment copy.py” (the V3 env)</w:t>
            </w:r>
          </w:p>
        </w:tc>
        <w:tc>
          <w:tcPr>
            <w:tcW w:type="dxa" w:w="3427"/>
            <w:tcMar>
              <w:top w:type="dxa" w:w="80"/>
              <w:left w:type="dxa" w:w="100"/>
              <w:bottom w:type="dxa" w:w="80"/>
              <w:right w:type="dxa" w:w="100"/>
            </w:tcMar>
          </w:tcPr>
          <w:p>
            <w:pPr>
              <w:jc w:val="left"/>
            </w:pPr>
            <w:r>
              <w:rPr>
                <w:b w:val="false"/>
                <w:bCs w:val="false"/>
                <w:color w:val="000000"/>
                <w:sz w:val="19"/>
                <w:szCs w:val="19"/>
              </w:rPr>
              <w:t xml:space="preserve">Ambiguous, unprofessional filename for a file you actually need (it's the V3 baseline)</w:t>
            </w:r>
          </w:p>
        </w:tc>
        <w:tc>
          <w:tcPr>
            <w:tcW w:type="dxa" w:w="4032"/>
            <w:tcMar>
              <w:top w:type="dxa" w:w="80"/>
              <w:left w:type="dxa" w:w="100"/>
              <w:bottom w:type="dxa" w:w="80"/>
              <w:right w:type="dxa" w:w="100"/>
            </w:tcMar>
          </w:tcPr>
          <w:p>
            <w:pPr>
              <w:jc w:val="left"/>
            </w:pPr>
            <w:r>
              <w:rPr>
                <w:b w:val="false"/>
                <w:bCs w:val="false"/>
                <w:color w:val="000000"/>
                <w:sz w:val="19"/>
                <w:szCs w:val="19"/>
              </w:rPr>
              <w:t xml:space="preserve">Rename to rl_environment_v3.py and keep — this is load-bearing, not clutter</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phase1_baseline.py, sweep_verify_v2.py</w:t>
            </w:r>
          </w:p>
        </w:tc>
        <w:tc>
          <w:tcPr>
            <w:tcW w:type="dxa" w:w="3427"/>
            <w:shd w:fill="EDEDED" w:color="auto" w:val="clear"/>
            <w:tcMar>
              <w:top w:type="dxa" w:w="80"/>
              <w:left w:type="dxa" w:w="100"/>
              <w:bottom w:type="dxa" w:w="80"/>
              <w:right w:type="dxa" w:w="100"/>
            </w:tcMar>
          </w:tcPr>
          <w:p>
            <w:pPr>
              <w:jc w:val="left"/>
            </w:pPr>
            <w:r>
              <w:rPr>
                <w:b w:val="false"/>
                <w:bCs w:val="false"/>
                <w:color w:val="000000"/>
                <w:sz w:val="19"/>
                <w:szCs w:val="19"/>
              </w:rPr>
              <w:t xml:space="preserve">Currently broken (missing import)</w:t>
            </w:r>
          </w:p>
        </w:tc>
        <w:tc>
          <w:tcPr>
            <w:tcW w:type="dxa" w:w="4032"/>
            <w:shd w:fill="EDEDED" w:color="auto" w:val="clear"/>
            <w:tcMar>
              <w:top w:type="dxa" w:w="80"/>
              <w:left w:type="dxa" w:w="100"/>
              <w:bottom w:type="dxa" w:w="80"/>
              <w:right w:type="dxa" w:w="100"/>
            </w:tcMar>
          </w:tcPr>
          <w:p>
            <w:pPr>
              <w:jc w:val="left"/>
            </w:pPr>
            <w:r>
              <w:rPr>
                <w:b w:val="false"/>
                <w:bCs w:val="false"/>
                <w:color w:val="000000"/>
                <w:sz w:val="19"/>
                <w:szCs w:val="19"/>
              </w:rPr>
              <w:t xml:space="preserve">Fix per §4; only delete if you decide they're genuinely redundant with a working script</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AGENTS.md, CLAUDE.md, .claude/settings.json, .opencode/ (incl. node_modules)</w:t>
            </w:r>
          </w:p>
        </w:tc>
        <w:tc>
          <w:tcPr>
            <w:tcW w:type="dxa" w:w="3427"/>
            <w:tcMar>
              <w:top w:type="dxa" w:w="80"/>
              <w:left w:type="dxa" w:w="100"/>
              <w:bottom w:type="dxa" w:w="80"/>
              <w:right w:type="dxa" w:w="100"/>
            </w:tcMar>
          </w:tcPr>
          <w:p>
            <w:pPr>
              <w:jc w:val="left"/>
            </w:pPr>
            <w:r>
              <w:rPr>
                <w:b w:val="false"/>
                <w:bCs w:val="false"/>
                <w:color w:val="000000"/>
                <w:sz w:val="19"/>
                <w:szCs w:val="19"/>
              </w:rPr>
              <w:t xml:space="preserve">AI-tool orchestration configuration, not project science</w:t>
            </w:r>
          </w:p>
        </w:tc>
        <w:tc>
          <w:tcPr>
            <w:tcW w:type="dxa" w:w="4032"/>
            <w:tcMar>
              <w:top w:type="dxa" w:w="80"/>
              <w:left w:type="dxa" w:w="100"/>
              <w:bottom w:type="dxa" w:w="80"/>
              <w:right w:type="dxa" w:w="100"/>
            </w:tcMar>
          </w:tcPr>
          <w:p>
            <w:pPr>
              <w:jc w:val="left"/>
            </w:pPr>
            <w:r>
              <w:rPr>
                <w:b w:val="false"/>
                <w:bCs w:val="false"/>
                <w:color w:val="000000"/>
                <w:sz w:val="19"/>
                <w:szCs w:val="19"/>
              </w:rPr>
              <w:t xml:space="preserve">Exclude from the published/paper-facing repo (e.g., via .gitignore or a separate tooling branch) — including these in a repo you share alongside a paper reads as clutter unrelated to the research</w:t>
            </w:r>
          </w:p>
        </w:tc>
      </w:tr>
    </w:tbl>
    <w:p>
      <w:pPr>
        <w:pStyle w:val="Heading2"/>
        <w:spacing w:after="120" w:before="280"/>
      </w:pPr>
      <w:r>
        <w:rPr>
          <w:b/>
          <w:bCs/>
          <w:color w:val="1F3864"/>
          <w:sz w:val="24"/>
          <w:szCs w:val="24"/>
        </w:rPr>
        <w:t xml:space="preserve">10.2 Proposed final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Folder</w:t>
            </w:r>
          </w:p>
        </w:tc>
        <w:tc>
          <w:tcPr>
            <w:tcW w:type="dxa" w:w="7862"/>
            <w:shd w:fill="1F3864" w:color="auto" w:val="clear"/>
            <w:tcMar>
              <w:top w:type="dxa" w:w="80"/>
              <w:left w:type="dxa" w:w="100"/>
              <w:bottom w:type="dxa" w:w="80"/>
              <w:right w:type="dxa" w:w="100"/>
            </w:tcMar>
          </w:tcPr>
          <w:p>
            <w:pPr>
              <w:jc w:val="left"/>
            </w:pPr>
            <w:r>
              <w:rPr>
                <w:b/>
                <w:bCs/>
                <w:color w:val="FFFFFF"/>
                <w:sz w:val="19"/>
                <w:szCs w:val="19"/>
              </w:rPr>
              <w:t xml:space="preserve">Contents</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/simulation</w:t>
            </w:r>
          </w:p>
        </w:tc>
        <w:tc>
          <w:tcPr>
            <w:tcW w:type="dxa" w:w="7862"/>
            <w:tcMar>
              <w:top w:type="dxa" w:w="80"/>
              <w:left w:type="dxa" w:w="100"/>
              <w:bottom w:type="dxa" w:w="80"/>
              <w:right w:type="dxa" w:w="100"/>
            </w:tcMar>
          </w:tcPr>
          <w:p>
            <w:pPr>
              <w:jc w:val="left"/>
            </w:pPr>
            <w:r>
              <w:rPr>
                <w:b w:val="false"/>
                <w:bCs w:val="false"/>
                <w:color w:val="000000"/>
                <w:sz w:val="19"/>
                <w:szCs w:val="19"/>
              </w:rPr>
              <w:t xml:space="preserve">QuantumResonatorSim, both drift models, clearly named (no “copy”/“backup” files)</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/rl_training</w:t>
            </w:r>
          </w:p>
        </w:tc>
        <w:tc>
          <w:tcPr>
            <w:tcW w:type="dxa" w:w="7862"/>
            <w:shd w:fill="EDEDED" w:color="auto" w:val="clear"/>
            <w:tcMar>
              <w:top w:type="dxa" w:w="80"/>
              <w:left w:type="dxa" w:w="100"/>
              <w:bottom w:type="dxa" w:w="80"/>
              <w:right w:type="dxa" w:w="100"/>
            </w:tcMar>
          </w:tcPr>
          <w:p>
            <w:pPr>
              <w:jc w:val="left"/>
            </w:pPr>
            <w:r>
              <w:rPr>
                <w:b w:val="false"/>
                <w:bCs w:val="false"/>
                <w:color w:val="000000"/>
                <w:sz w:val="19"/>
                <w:szCs w:val="19"/>
              </w:rPr>
              <w:t xml:space="preserve">One canonical file per variant (V3, V4, V4a, V4b, and the new confound-isolation variants from the research plan §10), train.py, evaluate_agent.py — all reading paths from the fix in §4</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/qiskit_integration</w:t>
            </w:r>
          </w:p>
        </w:tc>
        <w:tc>
          <w:tcPr>
            <w:tcW w:type="dxa" w:w="7862"/>
            <w:tcMar>
              <w:top w:type="dxa" w:w="80"/>
              <w:left w:type="dxa" w:w="100"/>
              <w:bottom w:type="dxa" w:w="80"/>
              <w:right w:type="dxa" w:w="100"/>
            </w:tcMar>
          </w:tcPr>
          <w:p>
            <w:pPr>
              <w:jc w:val="left"/>
            </w:pPr>
            <w:r>
              <w:rPr>
                <w:b w:val="false"/>
                <w:bCs w:val="false"/>
                <w:color w:val="000000"/>
                <w:sz w:val="19"/>
                <w:szCs w:val="19"/>
              </w:rPr>
              <w:t xml:space="preserve">Fixed, reproducible QACT pipeline only — no dead imports</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/circuit_sim</w:t>
            </w:r>
          </w:p>
        </w:tc>
        <w:tc>
          <w:tcPr>
            <w:tcW w:type="dxa" w:w="7862"/>
            <w:shd w:fill="EDEDED" w:color="auto" w:val="clear"/>
            <w:tcMar>
              <w:top w:type="dxa" w:w="80"/>
              <w:left w:type="dxa" w:w="100"/>
              <w:bottom w:type="dxa" w:w="80"/>
              <w:right w:type="dxa" w:w="100"/>
            </w:tcMar>
          </w:tcPr>
          <w:p>
            <w:pPr>
              <w:jc w:val="left"/>
            </w:pPr>
            <w:r>
              <w:rPr>
                <w:b w:val="false"/>
                <w:bCs w:val="false"/>
                <w:color w:val="000000"/>
                <w:sz w:val="19"/>
                <w:szCs w:val="19"/>
              </w:rPr>
              <w:t xml:space="preserve">LTSpice + Multisim + Simulink files together, clearly labeled by stage</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/firmware</w:t>
            </w:r>
          </w:p>
        </w:tc>
        <w:tc>
          <w:tcPr>
            <w:tcW w:type="dxa" w:w="7862"/>
            <w:tcMar>
              <w:top w:type="dxa" w:w="80"/>
              <w:left w:type="dxa" w:w="100"/>
              <w:bottom w:type="dxa" w:w="80"/>
              <w:right w:type="dxa" w:w="100"/>
            </w:tcMar>
          </w:tcPr>
          <w:p>
            <w:pPr>
              <w:jc w:val="left"/>
            </w:pPr>
            <w:r>
              <w:rPr>
                <w:b w:val="false"/>
                <w:bCs w:val="false"/>
                <w:color w:val="000000"/>
                <w:sz w:val="19"/>
                <w:szCs w:val="19"/>
              </w:rPr>
              <w:t xml:space="preserve">esp32_controller.ino, explicitly marked in a header comment as “designed, simulated, not deployed on physical hardware”</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/results</w:t>
            </w:r>
          </w:p>
        </w:tc>
        <w:tc>
          <w:tcPr>
            <w:tcW w:type="dxa" w:w="7862"/>
            <w:shd w:fill="EDEDED" w:color="auto" w:val="clear"/>
            <w:tcMar>
              <w:top w:type="dxa" w:w="80"/>
              <w:left w:type="dxa" w:w="100"/>
              <w:bottom w:type="dxa" w:w="80"/>
              <w:right w:type="dxa" w:w="100"/>
            </w:tcMar>
          </w:tcPr>
          <w:p>
            <w:pPr>
              <w:jc w:val="left"/>
            </w:pPr>
            <w:r>
              <w:rPr>
                <w:b w:val="false"/>
                <w:bCs w:val="false"/>
                <w:color w:val="000000"/>
                <w:sz w:val="19"/>
                <w:szCs w:val="19"/>
              </w:rPr>
              <w:t xml:space="preserve">Final tables/plots/JSON, each with the provenance block from §3</w:t>
            </w:r>
          </w:p>
        </w:tc>
      </w:tr>
      <w:tr>
        <w:tc>
          <w:tcPr>
            <w:tcW w:type="dxa" w:w="2218"/>
            <w:tcMar>
              <w:top w:type="dxa" w:w="80"/>
              <w:left w:type="dxa" w:w="100"/>
              <w:bottom w:type="dxa" w:w="80"/>
              <w:right w:type="dxa" w:w="100"/>
            </w:tcMar>
          </w:tcPr>
          <w:p>
            <w:pPr>
              <w:jc w:val="left"/>
            </w:pPr>
            <w:r>
              <w:rPr>
                <w:b w:val="false"/>
                <w:bCs w:val="false"/>
                <w:color w:val="000000"/>
                <w:sz w:val="19"/>
                <w:szCs w:val="19"/>
              </w:rPr>
              <w:t xml:space="preserve">/paper</w:t>
            </w:r>
          </w:p>
        </w:tc>
        <w:tc>
          <w:tcPr>
            <w:tcW w:type="dxa" w:w="7862"/>
            <w:tcMar>
              <w:top w:type="dxa" w:w="80"/>
              <w:left w:type="dxa" w:w="100"/>
              <w:bottom w:type="dxa" w:w="80"/>
              <w:right w:type="dxa" w:w="100"/>
            </w:tcMar>
          </w:tcPr>
          <w:p>
            <w:pPr>
              <w:jc w:val="left"/>
            </w:pPr>
            <w:r>
              <w:rPr>
                <w:b w:val="false"/>
                <w:bCs w:val="false"/>
                <w:color w:val="000000"/>
                <w:sz w:val="19"/>
                <w:szCs w:val="19"/>
              </w:rPr>
              <w:t xml:space="preserve">Manuscript drafts</w:t>
            </w:r>
          </w:p>
        </w:tc>
      </w:tr>
      <w:tr>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README.md</w:t>
            </w:r>
          </w:p>
        </w:tc>
        <w:tc>
          <w:tcPr>
            <w:tcW w:type="dxa" w:w="7862"/>
            <w:shd w:fill="EDEDED" w:color="auto" w:val="clear"/>
            <w:tcMar>
              <w:top w:type="dxa" w:w="80"/>
              <w:left w:type="dxa" w:w="100"/>
              <w:bottom w:type="dxa" w:w="80"/>
              <w:right w:type="dxa" w:w="100"/>
            </w:tcMar>
          </w:tcPr>
          <w:p>
            <w:pPr>
              <w:jc w:val="left"/>
            </w:pPr>
            <w:r>
              <w:rPr>
                <w:b w:val="false"/>
                <w:bCs w:val="false"/>
                <w:color w:val="000000"/>
                <w:sz w:val="19"/>
                <w:szCs w:val="19"/>
              </w:rPr>
              <w:t xml:space="preserve">One page: environment setup, and the exact command to regenerate every table and figure in the paper from a clean checkout</w:t>
            </w:r>
          </w:p>
        </w:tc>
      </w:tr>
    </w:tbl>
    <w:p>
      <w:pPr>
        <w:pStyle w:val="Heading2"/>
        <w:spacing w:after="120" w:before="280"/>
      </w:pPr>
      <w:r>
        <w:rPr>
          <w:b/>
          <w:bCs/>
          <w:color w:val="1F3864"/>
          <w:sz w:val="24"/>
          <w:szCs w:val="24"/>
        </w:rPr>
        <w:t xml:space="preserve">10.3 Before/after check</w:t>
      </w:r>
    </w:p>
    <w:p>
      <w:pPr>
        <w:spacing w:after="160" w:line="276"/>
      </w:pPr>
      <w:r>
        <w:rPr>
          <w:sz w:val="21"/>
          <w:szCs w:val="21"/>
        </w:rPr>
        <w:t xml:space="preserve">Do the cleanup only after §3–§8 fixes are complete and verified — restructuring a repo that still has broken imports and hardcoded paths just moves the same problems to new file locations. Sequence: fix → verify end-to-end from a clean checkout → then restructure and delete.</w:t>
      </w:r>
    </w:p>
    <w:p>
      <w:r>
        <w:br w:type="page"/>
      </w:r>
    </w:p>
    <w:p>
      <w:pPr>
        <w:pStyle w:val="Heading1"/>
        <w:pBdr>
          <w:bottom w:val="single" w:color="1F3864" w:sz="8" w:space="4"/>
        </w:pBdr>
        <w:spacing w:after="160" w:before="360"/>
      </w:pPr>
      <w:r>
        <w:rPr>
          <w:b/>
          <w:bCs/>
          <w:color w:val="1F3864"/>
          <w:sz w:val="30"/>
          <w:szCs w:val="30"/>
        </w:rPr>
        <w:t xml:space="preserve">11. Consolidated Execution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6653"/>
        <w:gridCol w:w="1814"/>
      </w:tblGrid>
      <w:tr>
        <w:trPr>
          <w:tblHeader/>
        </w:trPr>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Phase</w:t>
            </w:r>
          </w:p>
        </w:tc>
        <w:tc>
          <w:tcPr>
            <w:tcW w:type="dxa" w:w="6653"/>
            <w:shd w:fill="1F3864" w:color="auto" w:val="clear"/>
            <w:tcMar>
              <w:top w:type="dxa" w:w="80"/>
              <w:left w:type="dxa" w:w="100"/>
              <w:bottom w:type="dxa" w:w="80"/>
              <w:right w:type="dxa" w:w="100"/>
            </w:tcMar>
          </w:tcPr>
          <w:p>
            <w:pPr>
              <w:jc w:val="left"/>
            </w:pPr>
            <w:r>
              <w:rPr>
                <w:b/>
                <w:bCs/>
                <w:color w:val="FFFFFF"/>
                <w:sz w:val="19"/>
                <w:szCs w:val="19"/>
              </w:rPr>
              <w:t xml:space="preserve">What</w:t>
            </w:r>
          </w:p>
        </w:tc>
        <w:tc>
          <w:tcPr>
            <w:tcW w:type="dxa" w:w="1814"/>
            <w:shd w:fill="1F3864" w:color="auto" w:val="clear"/>
            <w:tcMar>
              <w:top w:type="dxa" w:w="80"/>
              <w:left w:type="dxa" w:w="100"/>
              <w:bottom w:type="dxa" w:w="80"/>
              <w:right w:type="dxa" w:w="100"/>
            </w:tcMar>
          </w:tcPr>
          <w:p>
            <w:pPr>
              <w:jc w:val="left"/>
            </w:pPr>
            <w:r>
              <w:rPr>
                <w:b/>
                <w:bCs/>
                <w:color w:val="FFFFFF"/>
                <w:sz w:val="19"/>
                <w:szCs w:val="19"/>
              </w:rPr>
              <w:t xml:space="preserve">From</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0 — Integrity fixes</w:t>
            </w:r>
          </w:p>
        </w:tc>
        <w:tc>
          <w:tcPr>
            <w:tcW w:type="dxa" w:w="6653"/>
            <w:tcMar>
              <w:top w:type="dxa" w:w="80"/>
              <w:left w:type="dxa" w:w="100"/>
              <w:bottom w:type="dxa" w:w="80"/>
              <w:right w:type="dxa" w:w="100"/>
            </w:tcMar>
          </w:tcPr>
          <w:p>
            <w:pPr>
              <w:jc w:val="left"/>
            </w:pPr>
            <w:r>
              <w:rPr>
                <w:b w:val="false"/>
                <w:bCs w:val="false"/>
                <w:color w:val="000000"/>
                <w:sz w:val="19"/>
                <w:szCs w:val="19"/>
              </w:rPr>
              <w:t xml:space="preserve">Report the 5-seed aggregate, not Seed 3 alone; stop citing unreproducible QACT numbers; fix dead imports/paths (§4); seed everything; de-hardcode comparison scripts (§3).</w:t>
            </w:r>
          </w:p>
        </w:tc>
        <w:tc>
          <w:tcPr>
            <w:tcW w:type="dxa" w:w="1814"/>
            <w:tcMar>
              <w:top w:type="dxa" w:w="80"/>
              <w:left w:type="dxa" w:w="100"/>
              <w:bottom w:type="dxa" w:w="80"/>
              <w:right w:type="dxa" w:w="100"/>
            </w:tcMar>
          </w:tcPr>
          <w:p>
            <w:pPr>
              <w:jc w:val="left"/>
            </w:pPr>
            <w:r>
              <w:rPr>
                <w:b w:val="false"/>
                <w:bCs w:val="false"/>
                <w:color w:val="000000"/>
                <w:sz w:val="19"/>
                <w:szCs w:val="19"/>
              </w:rPr>
              <w:t xml:space="preserve">§3, §4</w:t>
            </w:r>
          </w:p>
        </w:tc>
      </w:tr>
      <w:tr>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1 — Confound ablation</w:t>
            </w:r>
          </w:p>
        </w:tc>
        <w:tc>
          <w:tcPr>
            <w:tcW w:type="dxa" w:w="6653"/>
            <w:shd w:fill="EDEDED" w:color="auto" w:val="clear"/>
            <w:tcMar>
              <w:top w:type="dxa" w:w="80"/>
              <w:left w:type="dxa" w:w="100"/>
              <w:bottom w:type="dxa" w:w="80"/>
              <w:right w:type="dxa" w:w="100"/>
            </w:tcMar>
          </w:tcPr>
          <w:p>
            <w:pPr>
              <w:jc w:val="left"/>
            </w:pPr>
            <w:r>
              <w:rPr>
                <w:b w:val="false"/>
                <w:bCs w:val="false"/>
                <w:color w:val="000000"/>
                <w:sz w:val="19"/>
                <w:szCs w:val="19"/>
              </w:rPr>
              <w:t xml:space="preserve">Run the two observation-vs-reward isolation variants, 5 seeds each (research document §10, Step 4).</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Research doc §10</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2 — Quantum environment rebuild</w:t>
            </w:r>
          </w:p>
        </w:tc>
        <w:tc>
          <w:tcPr>
            <w:tcW w:type="dxa" w:w="6653"/>
            <w:tcMar>
              <w:top w:type="dxa" w:w="80"/>
              <w:left w:type="dxa" w:w="100"/>
              <w:bottom w:type="dxa" w:w="80"/>
              <w:right w:type="dxa" w:w="100"/>
            </w:tcMar>
          </w:tcPr>
          <w:p>
            <w:pPr>
              <w:jc w:val="left"/>
            </w:pPr>
            <w:r>
              <w:rPr>
                <w:b w:val="false"/>
                <w:bCs w:val="false"/>
                <w:color w:val="000000"/>
                <w:sz w:val="19"/>
                <w:szCs w:val="19"/>
              </w:rPr>
              <w:t xml:space="preserve">Apply all §6 alignment fixes; run the §7 zero-shot → fine-tune protocol; populate the §8 table.</w:t>
            </w:r>
          </w:p>
        </w:tc>
        <w:tc>
          <w:tcPr>
            <w:tcW w:type="dxa" w:w="1814"/>
            <w:tcMar>
              <w:top w:type="dxa" w:w="80"/>
              <w:left w:type="dxa" w:w="100"/>
              <w:bottom w:type="dxa" w:w="80"/>
              <w:right w:type="dxa" w:w="100"/>
            </w:tcMar>
          </w:tcPr>
          <w:p>
            <w:pPr>
              <w:jc w:val="left"/>
            </w:pPr>
            <w:r>
              <w:rPr>
                <w:b w:val="false"/>
                <w:bCs w:val="false"/>
                <w:color w:val="000000"/>
                <w:sz w:val="19"/>
                <w:szCs w:val="19"/>
              </w:rPr>
              <w:t xml:space="preserve">§6, §7, §8</w:t>
            </w:r>
          </w:p>
        </w:tc>
      </w:tr>
      <w:tr>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3 — Ablation finalization</w:t>
            </w:r>
          </w:p>
        </w:tc>
        <w:tc>
          <w:tcPr>
            <w:tcW w:type="dxa" w:w="6653"/>
            <w:shd w:fill="EDEDED" w:color="auto" w:val="clear"/>
            <w:tcMar>
              <w:top w:type="dxa" w:w="80"/>
              <w:left w:type="dxa" w:w="100"/>
              <w:bottom w:type="dxa" w:w="80"/>
              <w:right w:type="dxa" w:w="100"/>
            </w:tcMar>
          </w:tcPr>
          <w:p>
            <w:pPr>
              <w:jc w:val="left"/>
            </w:pPr>
            <w:r>
              <w:rPr>
                <w:b w:val="false"/>
                <w:bCs w:val="false"/>
                <w:color w:val="000000"/>
                <w:sz w:val="19"/>
                <w:szCs w:val="19"/>
              </w:rPr>
              <w:t xml:space="preserve">Re-run V4a/V4b under both Gaussian and OU regimes, 5 seeds each, matching V4's protocol.</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Research doc §5</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4 — Circuit/front-end validation</w:t>
            </w:r>
          </w:p>
        </w:tc>
        <w:tc>
          <w:tcPr>
            <w:tcW w:type="dxa" w:w="6653"/>
            <w:tcMar>
              <w:top w:type="dxa" w:w="80"/>
              <w:left w:type="dxa" w:w="100"/>
              <w:bottom w:type="dxa" w:w="80"/>
              <w:right w:type="dxa" w:w="100"/>
            </w:tcMar>
          </w:tcPr>
          <w:p>
            <w:pPr>
              <w:jc w:val="left"/>
            </w:pPr>
            <w:r>
              <w:rPr>
                <w:b w:val="false"/>
                <w:bCs w:val="false"/>
                <w:color w:val="000000"/>
                <w:sz w:val="19"/>
                <w:szCs w:val="19"/>
              </w:rPr>
              <w:t xml:space="preserve">Multisim cross-check, temperature/frequency sweeps, component justification write-up, virtual-HIL dry run and deployment (§1, §2).</w:t>
            </w:r>
          </w:p>
        </w:tc>
        <w:tc>
          <w:tcPr>
            <w:tcW w:type="dxa" w:w="1814"/>
            <w:tcMar>
              <w:top w:type="dxa" w:w="80"/>
              <w:left w:type="dxa" w:w="100"/>
              <w:bottom w:type="dxa" w:w="80"/>
              <w:right w:type="dxa" w:w="100"/>
            </w:tcMar>
          </w:tcPr>
          <w:p>
            <w:pPr>
              <w:jc w:val="left"/>
            </w:pPr>
            <w:r>
              <w:rPr>
                <w:b w:val="false"/>
                <w:bCs w:val="false"/>
                <w:color w:val="000000"/>
                <w:sz w:val="19"/>
                <w:szCs w:val="19"/>
              </w:rPr>
              <w:t xml:space="preserve">§1, §2</w:t>
            </w:r>
          </w:p>
        </w:tc>
      </w:tr>
      <w:tr>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5 — Sensitivity study (optional but recommended)</w:t>
            </w:r>
          </w:p>
        </w:tc>
        <w:tc>
          <w:tcPr>
            <w:tcW w:type="dxa" w:w="6653"/>
            <w:shd w:fill="EDEDED" w:color="auto" w:val="clear"/>
            <w:tcMar>
              <w:top w:type="dxa" w:w="80"/>
              <w:left w:type="dxa" w:w="100"/>
              <w:bottom w:type="dxa" w:w="80"/>
              <w:right w:type="dxa" w:w="100"/>
            </w:tcMar>
          </w:tcPr>
          <w:p>
            <w:pPr>
              <w:jc w:val="left"/>
            </w:pPr>
            <w:r>
              <w:rPr>
                <w:b w:val="false"/>
                <w:bCs w:val="false"/>
                <w:color w:val="000000"/>
                <w:sz w:val="19"/>
                <w:szCs w:val="19"/>
              </w:rPr>
              <w:t xml:space="preserve">Two-axis equipment/algorithm sweep (research document §8).</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Research doc §8</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6 — Plotting</w:t>
            </w:r>
          </w:p>
        </w:tc>
        <w:tc>
          <w:tcPr>
            <w:tcW w:type="dxa" w:w="6653"/>
            <w:tcMar>
              <w:top w:type="dxa" w:w="80"/>
              <w:left w:type="dxa" w:w="100"/>
              <w:bottom w:type="dxa" w:w="80"/>
              <w:right w:type="dxa" w:w="100"/>
            </w:tcMar>
          </w:tcPr>
          <w:p>
            <w:pPr>
              <w:jc w:val="left"/>
            </w:pPr>
            <w:r>
              <w:rPr>
                <w:b w:val="false"/>
                <w:bCs w:val="false"/>
                <w:color w:val="000000"/>
                <w:sz w:val="19"/>
                <w:szCs w:val="19"/>
              </w:rPr>
              <w:t xml:space="preserve">Build the full chart set in §5 once all the above numbers are final.</w:t>
            </w:r>
          </w:p>
        </w:tc>
        <w:tc>
          <w:tcPr>
            <w:tcW w:type="dxa" w:w="1814"/>
            <w:tcMar>
              <w:top w:type="dxa" w:w="80"/>
              <w:left w:type="dxa" w:w="100"/>
              <w:bottom w:type="dxa" w:w="80"/>
              <w:right w:type="dxa" w:w="100"/>
            </w:tcMar>
          </w:tcPr>
          <w:p>
            <w:pPr>
              <w:jc w:val="left"/>
            </w:pPr>
            <w:r>
              <w:rPr>
                <w:b w:val="false"/>
                <w:bCs w:val="false"/>
                <w:color w:val="000000"/>
                <w:sz w:val="19"/>
                <w:szCs w:val="19"/>
              </w:rPr>
              <w:t xml:space="preserve">§5</w:t>
            </w:r>
          </w:p>
        </w:tc>
      </w:tr>
      <w:tr>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7 — Repo cleanup</w:t>
            </w:r>
          </w:p>
        </w:tc>
        <w:tc>
          <w:tcPr>
            <w:tcW w:type="dxa" w:w="6653"/>
            <w:shd w:fill="EDEDED" w:color="auto" w:val="clear"/>
            <w:tcMar>
              <w:top w:type="dxa" w:w="80"/>
              <w:left w:type="dxa" w:w="100"/>
              <w:bottom w:type="dxa" w:w="80"/>
              <w:right w:type="dxa" w:w="100"/>
            </w:tcMar>
          </w:tcPr>
          <w:p>
            <w:pPr>
              <w:jc w:val="left"/>
            </w:pPr>
            <w:r>
              <w:rPr>
                <w:b w:val="false"/>
                <w:bCs w:val="false"/>
                <w:color w:val="000000"/>
                <w:sz w:val="19"/>
                <w:szCs w:val="19"/>
              </w:rPr>
              <w:t xml:space="preserve">Resolve/delete files per §10.1, adopt the §10.2 structure, verify from a clean checkout.</w:t>
            </w:r>
          </w:p>
        </w:tc>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§10</w:t>
            </w:r>
          </w:p>
        </w:tc>
      </w:tr>
      <w:tr>
        <w:tc>
          <w:tcPr>
            <w:tcW w:type="dxa" w:w="1613"/>
            <w:tcMar>
              <w:top w:type="dxa" w:w="80"/>
              <w:left w:type="dxa" w:w="100"/>
              <w:bottom w:type="dxa" w:w="80"/>
              <w:right w:type="dxa" w:w="100"/>
            </w:tcMar>
          </w:tcPr>
          <w:p>
            <w:pPr>
              <w:jc w:val="left"/>
            </w:pPr>
            <w:r>
              <w:rPr>
                <w:b w:val="false"/>
                <w:bCs w:val="false"/>
                <w:color w:val="000000"/>
                <w:sz w:val="19"/>
                <w:szCs w:val="19"/>
              </w:rPr>
              <w:t xml:space="preserve">8 — Writing</w:t>
            </w:r>
          </w:p>
        </w:tc>
        <w:tc>
          <w:tcPr>
            <w:tcW w:type="dxa" w:w="6653"/>
            <w:tcMar>
              <w:top w:type="dxa" w:w="80"/>
              <w:left w:type="dxa" w:w="100"/>
              <w:bottom w:type="dxa" w:w="80"/>
              <w:right w:type="dxa" w:w="100"/>
            </w:tcMar>
          </w:tcPr>
          <w:p>
            <w:pPr>
              <w:jc w:val="left"/>
            </w:pPr>
            <w:r>
              <w:rPr>
                <w:b w:val="false"/>
                <w:bCs w:val="false"/>
                <w:color w:val="000000"/>
                <w:sz w:val="19"/>
                <w:szCs w:val="19"/>
              </w:rPr>
              <w:t xml:space="preserve">Draft using the research document's full outline (§12), with every figure from Phase 6 and every table from Phases 1–5 already final.</w:t>
            </w:r>
          </w:p>
        </w:tc>
        <w:tc>
          <w:tcPr>
            <w:tcW w:type="dxa" w:w="1814"/>
            <w:tcMar>
              <w:top w:type="dxa" w:w="80"/>
              <w:left w:type="dxa" w:w="100"/>
              <w:bottom w:type="dxa" w:w="80"/>
              <w:right w:type="dxa" w:w="100"/>
            </w:tcMar>
          </w:tcPr>
          <w:p>
            <w:pPr>
              <w:jc w:val="left"/>
            </w:pPr>
            <w:r>
              <w:rPr>
                <w:b w:val="false"/>
                <w:bCs w:val="false"/>
                <w:color w:val="000000"/>
                <w:sz w:val="19"/>
                <w:szCs w:val="19"/>
              </w:rPr>
              <w:t xml:space="preserve">Research doc §12</w:t>
            </w:r>
          </w:p>
        </w:tc>
      </w:tr>
    </w:tbl>
    <w:p>
      <w:pPr>
        <w:spacing w:after="160" w:line="276"/>
      </w:pPr>
      <w:r>
        <w:rPr>
          <w:sz w:val="21"/>
          <w:szCs w:val="21"/>
        </w:rPr>
        <w:t xml:space="preserve"/>
      </w:r>
    </w:p>
    <w:p>
      <w:pPr>
        <w:pBdr>
          <w:left w:val="single" w:color="9C2B2B" w:sz="24" w:space="8"/>
        </w:pBdr>
        <w:spacing w:after="200" w:before="120" w:line="276"/>
        <w:ind w:left="200"/>
      </w:pPr>
      <w:r>
        <w:rPr>
          <w:i/>
          <w:iCs/>
          <w:color w:val="333333"/>
          <w:sz w:val="21"/>
          <w:szCs w:val="21"/>
        </w:rPr>
        <w:t xml:space="preserve">Do not start writing until Phases 0–5 are done. Every one of your 10 requested changes lands in a number, a figure, or a table that the paper needs — writing around numbers that are still going to change is the single most common reason a first draft has to be substantially reworked.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2026-09-21T23:41:23.233Z</dcterms:created>
  <dcterms:modified xsi:type="dcterms:W3CDTF">2026-09-21T23:41:23.233Z</dcterms:modified>
</cp:coreProperties>
</file>

<file path=docProps/custom.xml><?xml version="1.0" encoding="utf-8"?>
<Properties xmlns="http://schemas.openxmlformats.org/officeDocument/2006/custom-properties" xmlns:vt="http://schemas.openxmlformats.org/officeDocument/2006/docPropsVTypes"/>
</file>