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3864"/>
          <w:sz w:val="44"/>
          <w:szCs w:val="44"/>
        </w:rPr>
        <w:t xml:space="preserve">COMPLETE MODEL REPORT</w:t>
      </w:r>
    </w:p>
    <w:p>
      <w:pPr>
        <w:spacing w:before="0" w:after="80"/>
        <w:jc w:val="center"/>
      </w:pPr>
      <w:r>
        <w:rPr>
          <w:rFonts w:ascii="Arial" w:cs="Arial" w:eastAsia="Arial" w:hAnsi="Arial"/>
          <w:i/>
          <w:iCs/>
          <w:color w:val="2E75B6"/>
          <w:sz w:val="28"/>
          <w:szCs w:val="28"/>
        </w:rPr>
        <w:t xml:space="preserve">Autonomous Reinforcement Learning for Adaptive Resonator Calibration</w:t>
      </w:r>
    </w:p>
    <w:p>
      <w:pPr>
        <w:spacing w:before="0" w:after="360"/>
        <w:jc w:val="center"/>
      </w:pPr>
      <w:r>
        <w:rPr>
          <w:rFonts w:ascii="Arial" w:cs="Arial" w:eastAsia="Arial" w:hAnsi="Arial"/>
          <w:color w:val="595959"/>
          <w:sz w:val="22"/>
          <w:szCs w:val="22"/>
        </w:rPr>
        <w:t xml:space="preserve">Models V1 through V4 — Complete Specifications, Results, and Analysis</w:t>
      </w:r>
    </w:p>
    <w:p>
      <w:pPr>
        <w:pBdr>
          <w:bottom w:val="single" w:color="2E75B6" w:sz="4" w:space="1"/>
        </w:pBdr>
        <w:spacing w:before="120" w:after="120"/>
      </w:pPr>
      <w:r>
        <w:t xml:space="preserve"/>
      </w:r>
    </w:p>
    <w:p>
      <w:pPr>
        <w:pStyle w:val="Heading1"/>
        <w:spacing w:before="360" w:after="120"/>
      </w:pPr>
      <w:r>
        <w:rPr>
          <w:rFonts w:ascii="Arial" w:cs="Arial" w:eastAsia="Arial" w:hAnsi="Arial"/>
          <w:b/>
          <w:bCs/>
          <w:sz w:val="32"/>
          <w:szCs w:val="32"/>
        </w:rPr>
        <w:t xml:space="preserve">1. Background: The Control Problem</w:t>
      </w:r>
    </w:p>
    <w:p>
      <w:pPr>
        <w:spacing w:before="60" w:after="60"/>
      </w:pPr>
      <w:r>
        <w:rPr>
          <w:rFonts w:ascii="Arial" w:cs="Arial" w:eastAsia="Arial" w:hAnsi="Arial"/>
          <w:sz w:val="22"/>
          <w:szCs w:val="22"/>
        </w:rPr>
        <w:t xml:space="preserve">The agent controls a single continuous variable — drive frequency — to maximise the amplitude of a drifting LC resonator. The resonator has a Lorentzian response curve: amplitude peaks sharply at the resonant frequency f0 and falls off steeply on both sides. f0 drifts stochastically each step via a Gaussian random walk with sigma=500 Hz, clipped to ±5% of 500 kHz (475–525 kHz total range).</w:t>
      </w:r>
    </w:p>
    <w:p>
      <w:pPr>
        <w:spacing w:before="80" w:after="80"/>
      </w:pPr>
      <w:r>
        <w:t xml:space="preserve"/>
      </w:r>
    </w:p>
    <w:p>
      <w:pPr>
        <w:spacing w:before="60" w:after="60"/>
      </w:pPr>
      <w:r>
        <w:rPr>
          <w:rFonts w:ascii="Arial" w:cs="Arial" w:eastAsia="Arial" w:hAnsi="Arial"/>
          <w:sz w:val="22"/>
          <w:szCs w:val="22"/>
        </w:rPr>
        <w:t xml:space="preserve">The agent must do two things simultaneously: stay near the peak of a curve it cannot directly observe, and follow that peak as it moves unpredictably. It only observes amplitude — not f0 directly. It must infer where the peak is from the shape of the amplitude signal.</w:t>
      </w:r>
    </w:p>
    <w:p>
      <w:pPr>
        <w:spacing w:before="80" w:after="80"/>
      </w:pPr>
      <w:r>
        <w:t xml:space="preserve"/>
      </w:r>
    </w:p>
    <w:p>
      <w:pPr>
        <w:pStyle w:val="Heading2"/>
        <w:spacing w:before="240" w:after="80"/>
      </w:pPr>
      <w:r>
        <w:rPr>
          <w:rFonts w:ascii="Arial" w:cs="Arial" w:eastAsia="Arial" w:hAnsi="Arial"/>
          <w:b/>
          <w:bCs/>
          <w:sz w:val="26"/>
          <w:szCs w:val="26"/>
        </w:rPr>
        <w:t xml:space="preserve">1.1 The Three Recurring Failure Modes</w:t>
      </w:r>
    </w:p>
    <w:p>
      <w:pPr>
        <w:pStyle w:val="ListParagraph"/>
        <w:numPr>
          <w:ilvl w:val="0"/>
          <w:numId w:val="2"/>
        </w:numPr>
        <w:spacing w:before="40" w:after="40"/>
      </w:pPr>
      <w:r>
        <w:rPr>
          <w:rFonts w:ascii="Arial" w:cs="Arial" w:eastAsia="Arial" w:hAnsi="Arial"/>
          <w:sz w:val="22"/>
          <w:szCs w:val="22"/>
        </w:rPr>
        <w:t xml:space="preserve">Static lock — agent finds a good frequency and stops moving, ignoring drift</w:t>
      </w:r>
    </w:p>
    <w:p>
      <w:pPr>
        <w:pStyle w:val="ListParagraph"/>
        <w:numPr>
          <w:ilvl w:val="0"/>
          <w:numId w:val="2"/>
        </w:numPr>
        <w:spacing w:before="40" w:after="40"/>
      </w:pPr>
      <w:r>
        <w:rPr>
          <w:rFonts w:ascii="Arial" w:cs="Arial" w:eastAsia="Arial" w:hAnsi="Arial"/>
          <w:sz w:val="22"/>
          <w:szCs w:val="22"/>
        </w:rPr>
        <w:t xml:space="preserve">Overshoot oscillation — agent moves too aggressively, swings past the peak repeatedly</w:t>
      </w:r>
    </w:p>
    <w:p>
      <w:pPr>
        <w:pStyle w:val="ListParagraph"/>
        <w:numPr>
          <w:ilvl w:val="0"/>
          <w:numId w:val="2"/>
        </w:numPr>
        <w:spacing w:before="40" w:after="40"/>
      </w:pPr>
      <w:r>
        <w:rPr>
          <w:rFonts w:ascii="Arial" w:cs="Arial" w:eastAsia="Arial" w:hAnsi="Arial"/>
          <w:sz w:val="22"/>
          <w:szCs w:val="22"/>
        </w:rPr>
        <w:t xml:space="preserve">Gradient blindness — agent cannot reliably determine which direction to move when drift is fast</w:t>
      </w:r>
    </w:p>
    <w:p>
      <w:pPr>
        <w:spacing w:before="80" w:after="80"/>
      </w:pPr>
      <w:r>
        <w:t xml:space="preserve"/>
      </w:r>
    </w:p>
    <w:p>
      <w:pPr>
        <w:spacing w:before="60" w:after="60"/>
      </w:pPr>
      <w:r>
        <w:rPr>
          <w:rFonts w:ascii="Arial" w:cs="Arial" w:eastAsia="Arial" w:hAnsi="Arial"/>
          <w:sz w:val="22"/>
          <w:szCs w:val="22"/>
        </w:rPr>
        <w:t xml:space="preserve">Every version change addresses one of these failure modes specifically.</w:t>
      </w:r>
    </w:p>
    <w:p>
      <w:pPr>
        <w:pBdr>
          <w:bottom w:val="single" w:color="2E75B6" w:sz="4" w:space="1"/>
        </w:pBdr>
        <w:spacing w:before="120" w:after="120"/>
      </w:pPr>
      <w:r>
        <w:t xml:space="preserve"/>
      </w:r>
    </w:p>
    <w:p>
      <w:pPr>
        <w:pStyle w:val="Heading1"/>
        <w:spacing w:before="360" w:after="120"/>
      </w:pPr>
      <w:r>
        <w:rPr>
          <w:rFonts w:ascii="Arial" w:cs="Arial" w:eastAsia="Arial" w:hAnsi="Arial"/>
          <w:b/>
          <w:bCs/>
          <w:sz w:val="32"/>
          <w:szCs w:val="32"/>
        </w:rPr>
        <w:t xml:space="preserve">2. V1 — Baseline</w:t>
      </w:r>
    </w:p>
    <w:p>
      <w:pPr>
        <w:pStyle w:val="Heading2"/>
        <w:spacing w:before="240" w:after="80"/>
      </w:pPr>
      <w:r>
        <w:rPr>
          <w:rFonts w:ascii="Arial" w:cs="Arial" w:eastAsia="Arial" w:hAnsi="Arial"/>
          <w:b/>
          <w:bCs/>
          <w:sz w:val="26"/>
          <w:szCs w:val="26"/>
        </w:rPr>
        <w:t xml:space="preserve">2.1 Specifications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5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Action multiplier</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2000 Hz per unit action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ent_coef</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0.01</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State vector dimensions</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4 elements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State vector elements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[norm_freq, ema_amp, prev_ema_amp, prev_action]</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Observation space (low)</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[0.0, 0.0, 0.0, -1.0]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Observation space (high)</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 1.2, 1.2, 1.0]</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Total timesteps</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~20,000 (effective — see root cause)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Network architecture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[256, 256] MLP</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n_envs</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16 (SubprocVecEnv)</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Training time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Not recorded</w:t>
            </w:r>
          </w:p>
        </w:tc>
      </w:tr>
    </w:tbl>
    <w:p>
      <w:pPr>
        <w:spacing w:before="80" w:after="80"/>
      </w:pPr>
      <w:r>
        <w:t xml:space="preserve"/>
      </w:r>
    </w:p>
    <w:p>
      <w:pPr>
        <w:pStyle w:val="Heading2"/>
        <w:spacing w:before="240" w:after="80"/>
      </w:pPr>
      <w:r>
        <w:rPr>
          <w:rFonts w:ascii="Arial" w:cs="Arial" w:eastAsia="Arial" w:hAnsi="Arial"/>
          <w:b/>
          <w:bCs/>
          <w:sz w:val="26"/>
          <w:szCs w:val="26"/>
        </w:rPr>
        <w:t xml:space="preserve">2.2 Measured Results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Near-resonance time (amp &gt; 0.90)</w:t>
            </w:r>
          </w:p>
        </w:tc>
        <w:tc>
          <w:tcPr>
            <w:tcW w:type="dxa" w:w="4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~35%</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Low-amplitude tail (amp &lt; 0.70)</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~20%</w:t>
            </w:r>
          </w:p>
        </w:tc>
      </w:tr>
      <w:tr>
        <w:tc>
          <w:tcPr>
            <w:tcW w:type="dxa" w:w="4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Primary behaviour</w:t>
            </w:r>
          </w:p>
        </w:tc>
        <w:tc>
          <w:tcPr>
            <w:tcW w:type="dxa" w:w="4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Parked at static ~502,000 Hz, ignoring drift</w:t>
            </w:r>
          </w:p>
        </w:tc>
      </w:tr>
    </w:tbl>
    <w:p>
      <w:pPr>
        <w:spacing w:before="80" w:after="80"/>
      </w:pPr>
      <w:r>
        <w:t xml:space="preserve"/>
      </w:r>
    </w:p>
    <w:p>
      <w:pPr>
        <w:pStyle w:val="Heading2"/>
        <w:spacing w:before="240" w:after="80"/>
      </w:pPr>
      <w:r>
        <w:rPr>
          <w:rFonts w:ascii="Arial" w:cs="Arial" w:eastAsia="Arial" w:hAnsi="Arial"/>
          <w:b/>
          <w:bCs/>
          <w:sz w:val="26"/>
          <w:szCs w:val="26"/>
        </w:rPr>
        <w:t xml:space="preserve">2.3 Root Cause Analysis</w:t>
      </w:r>
    </w:p>
    <w:p>
      <w:pPr>
        <w:spacing w:before="60" w:after="60"/>
      </w:pPr>
      <w:r>
        <w:rPr>
          <w:rFonts w:ascii="Arial" w:cs="Arial" w:eastAsia="Arial" w:hAnsi="Arial"/>
          <w:sz w:val="22"/>
          <w:szCs w:val="22"/>
        </w:rPr>
        <w:t xml:space="preserve">V1 failed due to insufficient training, not a flawed architecture. With n_steps=4096 and n_envs=16, each PPO update cycle collects 65,536 transitions. At 20,000 total timesteps, the model completed only 9 gradient update steps — nowhere near enough for a policy to learn anything meaningful about the environment dynamics.</w:t>
      </w:r>
    </w:p>
    <w:p>
      <w:pPr>
        <w:spacing w:before="80" w:after="80"/>
      </w:pPr>
      <w:r>
        <w:t xml:space="preserve"/>
      </w:r>
    </w:p>
    <w:p>
      <w:pPr>
        <w:spacing w:before="60" w:after="60"/>
      </w:pPr>
      <w:r>
        <w:rPr>
          <w:rFonts w:ascii="Arial" w:cs="Arial" w:eastAsia="Arial" w:hAnsi="Arial"/>
          <w:sz w:val="22"/>
          <w:szCs w:val="22"/>
        </w:rPr>
        <w:t xml:space="preserve">The agent discovered early that sitting near 500,000 Hz (the nominal resonant frequency) produced reasonable amplitude rewards. Since the drift was small relative to the bandwidth during early training, this static behaviour was locally rewarding enough that the policy gradient never had sufficient signal to overcome it. The gradient SNR was below 1.0 — signal driving policy updates was dominated by noise.</w:t>
      </w:r>
    </w:p>
    <w:p>
      <w:pPr>
        <w:spacing w:before="80" w:after="80"/>
      </w:pPr>
      <w:r>
        <w:t xml:space="preserve"/>
      </w:r>
    </w:p>
    <w:p>
      <w:pPr>
        <w:spacing w:before="60" w:after="60"/>
      </w:pPr>
      <w:r>
        <w:rPr>
          <w:rFonts w:ascii="Arial" w:cs="Arial" w:eastAsia="Arial" w:hAnsi="Arial"/>
          <w:sz w:val="22"/>
          <w:szCs w:val="22"/>
        </w:rPr>
        <w:t xml:space="preserve">The action multiplier of 2000 Hz/step also contributed. Even if the agent tried to move, 2000 Hz steps against a ±5% drift range of 50,000 Hz meant the agent needed 25 consecutive maximum-action steps to traverse the full range — a significant mismatch between action resolution and drift scale.</w:t>
      </w:r>
    </w:p>
    <w:p>
      <w:pPr>
        <w:spacing w:before="80" w:after="80"/>
      </w:pPr>
      <w:r>
        <w:t xml:space="preserve"/>
      </w:r>
    </w:p>
    <w:p>
      <w:pPr>
        <w:pStyle w:val="Heading2"/>
        <w:spacing w:before="240" w:after="80"/>
      </w:pPr>
      <w:r>
        <w:rPr>
          <w:rFonts w:ascii="Arial" w:cs="Arial" w:eastAsia="Arial" w:hAnsi="Arial"/>
          <w:b/>
          <w:bCs/>
          <w:sz w:val="26"/>
          <w:szCs w:val="26"/>
        </w:rPr>
        <w:t xml:space="preserve">2.4 Pros and Cons</w:t>
      </w:r>
    </w:p>
    <w:p>
      <w:pPr>
        <w:spacing w:before="200" w:after="80"/>
      </w:pPr>
      <w:r>
        <w:rPr>
          <w:rFonts w:ascii="Arial" w:cs="Arial" w:eastAsia="Arial" w:hAnsi="Arial"/>
          <w:b/>
          <w:bCs/>
          <w:color w:val="2E75B6"/>
          <w:sz w:val="24"/>
          <w:szCs w:val="24"/>
        </w:rPr>
        <w:t xml:space="preserve">Pros</w:t>
      </w:r>
    </w:p>
    <w:p>
      <w:pPr>
        <w:pStyle w:val="ListParagraph"/>
        <w:numPr>
          <w:ilvl w:val="0"/>
          <w:numId w:val="2"/>
        </w:numPr>
        <w:spacing w:before="40" w:after="40"/>
      </w:pPr>
      <w:r>
        <w:rPr>
          <w:rFonts w:ascii="Arial" w:cs="Arial" w:eastAsia="Arial" w:hAnsi="Arial"/>
          <w:sz w:val="22"/>
          <w:szCs w:val="22"/>
        </w:rPr>
        <w:t xml:space="preserve">Demonstrated the environment initialised correctly</w:t>
      </w:r>
    </w:p>
    <w:p>
      <w:pPr>
        <w:pStyle w:val="ListParagraph"/>
        <w:numPr>
          <w:ilvl w:val="0"/>
          <w:numId w:val="2"/>
        </w:numPr>
        <w:spacing w:before="40" w:after="40"/>
      </w:pPr>
      <w:r>
        <w:rPr>
          <w:rFonts w:ascii="Arial" w:cs="Arial" w:eastAsia="Arial" w:hAnsi="Arial"/>
          <w:sz w:val="22"/>
          <w:szCs w:val="22"/>
        </w:rPr>
        <w:t xml:space="preserve">Showed that a near-nominal frequency strategy produces non-zero reward</w:t>
      </w:r>
    </w:p>
    <w:p>
      <w:pPr>
        <w:spacing w:before="200" w:after="80"/>
      </w:pPr>
      <w:r>
        <w:rPr>
          <w:rFonts w:ascii="Arial" w:cs="Arial" w:eastAsia="Arial" w:hAnsi="Arial"/>
          <w:b/>
          <w:bCs/>
          <w:color w:val="2E75B6"/>
          <w:sz w:val="24"/>
          <w:szCs w:val="24"/>
        </w:rPr>
        <w:t xml:space="preserve">Cons</w:t>
      </w:r>
    </w:p>
    <w:p>
      <w:pPr>
        <w:pStyle w:val="ListParagraph"/>
        <w:numPr>
          <w:ilvl w:val="0"/>
          <w:numId w:val="2"/>
        </w:numPr>
        <w:spacing w:before="40" w:after="40"/>
      </w:pPr>
      <w:r>
        <w:rPr>
          <w:rFonts w:ascii="Arial" w:cs="Arial" w:eastAsia="Arial" w:hAnsi="Arial"/>
          <w:sz w:val="22"/>
          <w:szCs w:val="22"/>
        </w:rPr>
        <w:t xml:space="preserve">Completely non-functional as a tracker</w:t>
      </w:r>
    </w:p>
    <w:p>
      <w:pPr>
        <w:pStyle w:val="ListParagraph"/>
        <w:numPr>
          <w:ilvl w:val="0"/>
          <w:numId w:val="2"/>
        </w:numPr>
        <w:spacing w:before="40" w:after="40"/>
      </w:pPr>
      <w:r>
        <w:rPr>
          <w:rFonts w:ascii="Arial" w:cs="Arial" w:eastAsia="Arial" w:hAnsi="Arial"/>
          <w:sz w:val="22"/>
          <w:szCs w:val="22"/>
        </w:rPr>
        <w:t xml:space="preserve">35% near-resonance time is worse than a static controller at exactly f0</w:t>
      </w:r>
    </w:p>
    <w:p>
      <w:pPr>
        <w:pStyle w:val="ListParagraph"/>
        <w:numPr>
          <w:ilvl w:val="0"/>
          <w:numId w:val="2"/>
        </w:numPr>
        <w:spacing w:before="40" w:after="40"/>
      </w:pPr>
      <w:r>
        <w:rPr>
          <w:rFonts w:ascii="Arial" w:cs="Arial" w:eastAsia="Arial" w:hAnsi="Arial"/>
          <w:sz w:val="22"/>
          <w:szCs w:val="22"/>
        </w:rPr>
        <w:t xml:space="preserve">20% low-amplitude tail is unacceptable for any control application</w:t>
      </w:r>
    </w:p>
    <w:p>
      <w:pPr>
        <w:pStyle w:val="ListParagraph"/>
        <w:numPr>
          <w:ilvl w:val="0"/>
          <w:numId w:val="2"/>
        </w:numPr>
        <w:spacing w:before="40" w:after="40"/>
      </w:pPr>
      <w:r>
        <w:rPr>
          <w:rFonts w:ascii="Arial" w:cs="Arial" w:eastAsia="Arial" w:hAnsi="Arial"/>
          <w:sz w:val="22"/>
          <w:szCs w:val="22"/>
        </w:rPr>
        <w:t xml:space="preserve">Only 9 gradient updates — not a trained model in any meaningful sense</w:t>
      </w:r>
    </w:p>
    <w:p>
      <w:pPr>
        <w:pStyle w:val="ListParagraph"/>
        <w:numPr>
          <w:ilvl w:val="0"/>
          <w:numId w:val="2"/>
        </w:numPr>
        <w:spacing w:before="40" w:after="40"/>
      </w:pPr>
      <w:r>
        <w:rPr>
          <w:rFonts w:ascii="Arial" w:cs="Arial" w:eastAsia="Arial" w:hAnsi="Arial"/>
          <w:sz w:val="22"/>
          <w:szCs w:val="22"/>
        </w:rPr>
        <w:t xml:space="preserve">Failure mode: Static lock</w:t>
      </w:r>
    </w:p>
    <w:p>
      <w:pPr>
        <w:pBdr>
          <w:bottom w:val="single" w:color="2E75B6" w:sz="4" w:space="1"/>
        </w:pBdr>
        <w:spacing w:before="120" w:after="120"/>
      </w:pPr>
      <w:r>
        <w:t xml:space="preserve"/>
      </w:r>
    </w:p>
    <w:p>
      <w:pPr>
        <w:pStyle w:val="Heading1"/>
        <w:spacing w:before="360" w:after="120"/>
      </w:pPr>
      <w:r>
        <w:rPr>
          <w:rFonts w:ascii="Arial" w:cs="Arial" w:eastAsia="Arial" w:hAnsi="Arial"/>
          <w:b/>
          <w:bCs/>
          <w:sz w:val="32"/>
          <w:szCs w:val="32"/>
        </w:rPr>
        <w:t xml:space="preserve">3. V2 — First Patch</w:t>
      </w:r>
    </w:p>
    <w:p>
      <w:pPr>
        <w:pStyle w:val="Heading2"/>
        <w:spacing w:before="240" w:after="80"/>
      </w:pPr>
      <w:r>
        <w:rPr>
          <w:rFonts w:ascii="Arial" w:cs="Arial" w:eastAsia="Arial" w:hAnsi="Arial"/>
          <w:b/>
          <w:bCs/>
          <w:sz w:val="26"/>
          <w:szCs w:val="26"/>
        </w:rPr>
        <w:t xml:space="preserve">3.1 Specifications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5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Action multiplier</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5000 Hz per unit action (changed from 2000)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ent_coef</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0.005 (changed from 0.01)</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State vector dimensions</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4 elements (unchanged)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State vector elements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[norm_freq, ema_amp, prev_ema_amp, prev_action]</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Observation space (low)</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[0.0, 0.0, 0.0, -1.0]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Observation space (high)</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 1.2, 1.2, 1.0]</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Total timesteps</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2,000,000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Network architecture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[256, 256] MLP</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n_envs</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16 (SubprocVecEnv)</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Training time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~19 minutes on RTX 3050</w:t>
            </w:r>
          </w:p>
        </w:tc>
      </w:tr>
    </w:tbl>
    <w:p>
      <w:pPr>
        <w:spacing w:before="80" w:after="80"/>
      </w:pPr>
      <w:r>
        <w:t xml:space="preserve"/>
      </w:r>
    </w:p>
    <w:p>
      <w:pPr>
        <w:pStyle w:val="Heading2"/>
        <w:spacing w:before="240" w:after="80"/>
      </w:pPr>
      <w:r>
        <w:rPr>
          <w:rFonts w:ascii="Arial" w:cs="Arial" w:eastAsia="Arial" w:hAnsi="Arial"/>
          <w:b/>
          <w:bCs/>
          <w:sz w:val="26"/>
          <w:szCs w:val="26"/>
        </w:rPr>
        <w:t xml:space="preserve">3.2 What Changed from V1 and Why</w:t>
      </w:r>
    </w:p>
    <w:p>
      <w:pPr>
        <w:spacing w:before="60" w:after="60"/>
      </w:pPr>
      <w:r>
        <w:rPr>
          <w:rFonts w:ascii="Arial" w:cs="Arial" w:eastAsia="Arial" w:hAnsi="Arial"/>
          <w:b/>
          <w:bCs/>
          <w:sz w:val="22"/>
          <w:szCs w:val="22"/>
        </w:rPr>
        <w:t xml:space="preserve">Action multiplier 2000 → 5000: </w:t>
      </w:r>
      <w:r>
        <w:rPr>
          <w:rFonts w:ascii="Arial" w:cs="Arial" w:eastAsia="Arial" w:hAnsi="Arial"/>
          <w:sz w:val="22"/>
          <w:szCs w:val="22"/>
        </w:rPr>
        <w:t xml:space="preserve">The agent needed to be able to traverse the full drift range within a few steps. At 500 Hz drift sigma per step and a 50 kHz total range, a 5000 Hz/step action allows the agent to outrun drift comfortably. This was the correct diagnosis of V1's core limitation.</w:t>
      </w:r>
    </w:p>
    <w:p>
      <w:pPr>
        <w:spacing w:before="80" w:after="80"/>
      </w:pPr>
      <w:r>
        <w:t xml:space="preserve"/>
      </w:r>
    </w:p>
    <w:p>
      <w:pPr>
        <w:spacing w:before="60" w:after="60"/>
      </w:pPr>
      <w:r>
        <w:rPr>
          <w:rFonts w:ascii="Arial" w:cs="Arial" w:eastAsia="Arial" w:hAnsi="Arial"/>
          <w:b/>
          <w:bCs/>
          <w:sz w:val="22"/>
          <w:szCs w:val="22"/>
        </w:rPr>
        <w:t xml:space="preserve">ent_coef 0.01 → 0.005: </w:t>
      </w:r>
      <w:r>
        <w:rPr>
          <w:rFonts w:ascii="Arial" w:cs="Arial" w:eastAsia="Arial" w:hAnsi="Arial"/>
          <w:sz w:val="22"/>
          <w:szCs w:val="22"/>
        </w:rPr>
        <w:t xml:space="preserve">Entropy coefficient controls how much the policy is penalised for becoming deterministic. Reducing it encourages the policy to converge faster by reducing pressure to explore randomly. This was paired with the larger action space to prevent the agent from making random large jumps indefinitely.</w:t>
      </w:r>
    </w:p>
    <w:p>
      <w:pPr>
        <w:spacing w:before="80" w:after="80"/>
      </w:pPr>
      <w:r>
        <w:t xml:space="preserve"/>
      </w:r>
    </w:p>
    <w:p>
      <w:pPr>
        <w:pStyle w:val="Heading2"/>
        <w:spacing w:before="240" w:after="80"/>
      </w:pPr>
      <w:r>
        <w:rPr>
          <w:rFonts w:ascii="Arial" w:cs="Arial" w:eastAsia="Arial" w:hAnsi="Arial"/>
          <w:b/>
          <w:bCs/>
          <w:sz w:val="26"/>
          <w:szCs w:val="26"/>
        </w:rPr>
        <w:t xml:space="preserve">3.3 Measured Results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Near-resonance time (amp &gt; 0.90)</w:t>
            </w:r>
          </w:p>
        </w:tc>
        <w:tc>
          <w:tcPr>
            <w:tcW w:type="dxa" w:w="4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~60–65%</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Low-amplitude tail (amp &lt; 0.70)</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~8–10%</w:t>
            </w:r>
          </w:p>
        </w:tc>
      </w:tr>
      <w:tr>
        <w:tc>
          <w:tcPr>
            <w:tcW w:type="dxa" w:w="4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Drift range coverage</w:t>
            </w:r>
          </w:p>
        </w:tc>
        <w:tc>
          <w:tcPr>
            <w:tcW w:type="dxa" w:w="4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87% of full range reached</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Oscillation magnitude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±8,500 Hz around resonance</w:t>
            </w:r>
          </w:p>
        </w:tc>
      </w:tr>
      <w:tr>
        <w:tc>
          <w:tcPr>
            <w:tcW w:type="dxa" w:w="4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Primary behaviour</w:t>
            </w:r>
          </w:p>
        </w:tc>
        <w:tc>
          <w:tcPr>
            <w:tcW w:type="dxa" w:w="4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Active tracking with severe overshoot oscillations</w:t>
            </w:r>
          </w:p>
        </w:tc>
      </w:tr>
    </w:tbl>
    <w:p>
      <w:pPr>
        <w:spacing w:before="80" w:after="80"/>
      </w:pPr>
      <w:r>
        <w:t xml:space="preserve"/>
      </w:r>
    </w:p>
    <w:p>
      <w:pPr>
        <w:pStyle w:val="Heading2"/>
        <w:spacing w:before="240" w:after="80"/>
      </w:pPr>
      <w:r>
        <w:rPr>
          <w:rFonts w:ascii="Arial" w:cs="Arial" w:eastAsia="Arial" w:hAnsi="Arial"/>
          <w:b/>
          <w:bCs/>
          <w:sz w:val="26"/>
          <w:szCs w:val="26"/>
        </w:rPr>
        <w:t xml:space="preserve">3.4 Root Cause Analysis</w:t>
      </w:r>
    </w:p>
    <w:p>
      <w:pPr>
        <w:spacing w:before="60" w:after="60"/>
      </w:pPr>
      <w:r>
        <w:rPr>
          <w:rFonts w:ascii="Arial" w:cs="Arial" w:eastAsia="Arial" w:hAnsi="Arial"/>
          <w:sz w:val="22"/>
          <w:szCs w:val="22"/>
        </w:rPr>
        <w:t xml:space="preserve">V2 learned to track — the first genuine improvement. For the first time the agent actively chased the drifting resonance. Coverage of 87% of the drift range confirms the policy explored the full frequency space.</w:t>
      </w:r>
    </w:p>
    <w:p>
      <w:pPr>
        <w:spacing w:before="80" w:after="80"/>
      </w:pPr>
      <w:r>
        <w:t xml:space="preserve"/>
      </w:r>
    </w:p>
    <w:p>
      <w:pPr>
        <w:spacing w:before="60" w:after="60"/>
      </w:pPr>
      <w:r>
        <w:rPr>
          <w:rFonts w:ascii="Arial" w:cs="Arial" w:eastAsia="Arial" w:hAnsi="Arial"/>
          <w:sz w:val="22"/>
          <w:szCs w:val="22"/>
        </w:rPr>
        <w:t xml:space="preserve">However, the 5000 Hz/step action multiplier was too large. The Lorentzian -3dB bandwidth at Q=50 and f0=500kHz is 10,000 Hz. A single maximum action spans half the bandwidth — far too coarse for stable convergence. When the agent detected it was below the peak and moved toward it with a large action, it consistently overshot to the other side. The gradient-climbing reward component then signalled a reversal, causing oscillations of ±8,500 Hz.</w:t>
      </w:r>
    </w:p>
    <w:p>
      <w:pPr>
        <w:spacing w:before="80" w:after="80"/>
      </w:pPr>
      <w:r>
        <w:t xml:space="preserve"/>
      </w:r>
    </w:p>
    <w:p>
      <w:pPr>
        <w:spacing w:before="60" w:after="60"/>
      </w:pPr>
      <w:r>
        <w:rPr>
          <w:rFonts w:ascii="Arial" w:cs="Arial" w:eastAsia="Arial" w:hAnsi="Arial"/>
          <w:sz w:val="22"/>
          <w:szCs w:val="22"/>
        </w:rPr>
        <w:t xml:space="preserve">The oscillation signature is diagnostic. ±8,500 Hz is approximately 1.7× the action multiplier, consistent with a policy that learned to take near-maximum actions in alternating directions — bouncing off the Lorentzian flanks rather than converging to the peak.</w:t>
      </w:r>
    </w:p>
    <w:p>
      <w:pPr>
        <w:spacing w:before="80" w:after="80"/>
      </w:pPr>
      <w:r>
        <w:t xml:space="preserve"/>
      </w:r>
    </w:p>
    <w:p>
      <w:pPr>
        <w:pStyle w:val="Heading2"/>
        <w:spacing w:before="240" w:after="80"/>
      </w:pPr>
      <w:r>
        <w:rPr>
          <w:rFonts w:ascii="Arial" w:cs="Arial" w:eastAsia="Arial" w:hAnsi="Arial"/>
          <w:b/>
          <w:bCs/>
          <w:sz w:val="26"/>
          <w:szCs w:val="26"/>
        </w:rPr>
        <w:t xml:space="preserve">3.5 Pros and Cons</w:t>
      </w:r>
    </w:p>
    <w:p>
      <w:pPr>
        <w:spacing w:before="200" w:after="80"/>
      </w:pPr>
      <w:r>
        <w:rPr>
          <w:rFonts w:ascii="Arial" w:cs="Arial" w:eastAsia="Arial" w:hAnsi="Arial"/>
          <w:b/>
          <w:bCs/>
          <w:color w:val="2E75B6"/>
          <w:sz w:val="24"/>
          <w:szCs w:val="24"/>
        </w:rPr>
        <w:t xml:space="preserve">Pros</w:t>
      </w:r>
    </w:p>
    <w:p>
      <w:pPr>
        <w:pStyle w:val="ListParagraph"/>
        <w:numPr>
          <w:ilvl w:val="0"/>
          <w:numId w:val="2"/>
        </w:numPr>
        <w:spacing w:before="40" w:after="40"/>
      </w:pPr>
      <w:r>
        <w:rPr>
          <w:rFonts w:ascii="Arial" w:cs="Arial" w:eastAsia="Arial" w:hAnsi="Arial"/>
          <w:sz w:val="22"/>
          <w:szCs w:val="22"/>
        </w:rPr>
        <w:t xml:space="preserve">First version to demonstrate genuine drift tracking</w:t>
      </w:r>
    </w:p>
    <w:p>
      <w:pPr>
        <w:pStyle w:val="ListParagraph"/>
        <w:numPr>
          <w:ilvl w:val="0"/>
          <w:numId w:val="2"/>
        </w:numPr>
        <w:spacing w:before="40" w:after="40"/>
      </w:pPr>
      <w:r>
        <w:rPr>
          <w:rFonts w:ascii="Arial" w:cs="Arial" w:eastAsia="Arial" w:hAnsi="Arial"/>
          <w:sz w:val="22"/>
          <w:szCs w:val="22"/>
        </w:rPr>
        <w:t xml:space="preserve">87% drift range coverage — policy explored the full environment</w:t>
      </w:r>
    </w:p>
    <w:p>
      <w:pPr>
        <w:pStyle w:val="ListParagraph"/>
        <w:numPr>
          <w:ilvl w:val="0"/>
          <w:numId w:val="2"/>
        </w:numPr>
        <w:spacing w:before="40" w:after="40"/>
      </w:pPr>
      <w:r>
        <w:rPr>
          <w:rFonts w:ascii="Arial" w:cs="Arial" w:eastAsia="Arial" w:hAnsi="Arial"/>
          <w:sz w:val="22"/>
          <w:szCs w:val="22"/>
        </w:rPr>
        <w:t xml:space="preserve">Near-resonance time doubled from V1's ~35% to ~62%</w:t>
      </w:r>
    </w:p>
    <w:p>
      <w:pPr>
        <w:pStyle w:val="ListParagraph"/>
        <w:numPr>
          <w:ilvl w:val="0"/>
          <w:numId w:val="2"/>
        </w:numPr>
        <w:spacing w:before="40" w:after="40"/>
      </w:pPr>
      <w:r>
        <w:rPr>
          <w:rFonts w:ascii="Arial" w:cs="Arial" w:eastAsia="Arial" w:hAnsi="Arial"/>
          <w:sz w:val="22"/>
          <w:szCs w:val="22"/>
        </w:rPr>
        <w:t xml:space="preserve">Low-amplitude tail improved from ~20% to ~8–10%</w:t>
      </w:r>
    </w:p>
    <w:p>
      <w:pPr>
        <w:spacing w:before="200" w:after="80"/>
      </w:pPr>
      <w:r>
        <w:rPr>
          <w:rFonts w:ascii="Arial" w:cs="Arial" w:eastAsia="Arial" w:hAnsi="Arial"/>
          <w:b/>
          <w:bCs/>
          <w:color w:val="2E75B6"/>
          <w:sz w:val="24"/>
          <w:szCs w:val="24"/>
        </w:rPr>
        <w:t xml:space="preserve">Cons</w:t>
      </w:r>
    </w:p>
    <w:p>
      <w:pPr>
        <w:pStyle w:val="ListParagraph"/>
        <w:numPr>
          <w:ilvl w:val="0"/>
          <w:numId w:val="2"/>
        </w:numPr>
        <w:spacing w:before="40" w:after="40"/>
      </w:pPr>
      <w:r>
        <w:rPr>
          <w:rFonts w:ascii="Arial" w:cs="Arial" w:eastAsia="Arial" w:hAnsi="Arial"/>
          <w:sz w:val="22"/>
          <w:szCs w:val="22"/>
        </w:rPr>
        <w:t xml:space="preserve">Persistent ±8,500 Hz oscillations — unacceptable for a control system</w:t>
      </w:r>
    </w:p>
    <w:p>
      <w:pPr>
        <w:pStyle w:val="ListParagraph"/>
        <w:numPr>
          <w:ilvl w:val="0"/>
          <w:numId w:val="2"/>
        </w:numPr>
        <w:spacing w:before="40" w:after="40"/>
      </w:pPr>
      <w:r>
        <w:rPr>
          <w:rFonts w:ascii="Arial" w:cs="Arial" w:eastAsia="Arial" w:hAnsi="Arial"/>
          <w:sz w:val="22"/>
          <w:szCs w:val="22"/>
        </w:rPr>
        <w:t xml:space="preserve">Action resolution too coarse relative to peak bandwidth</w:t>
      </w:r>
    </w:p>
    <w:p>
      <w:pPr>
        <w:pStyle w:val="ListParagraph"/>
        <w:numPr>
          <w:ilvl w:val="0"/>
          <w:numId w:val="2"/>
        </w:numPr>
        <w:spacing w:before="40" w:after="40"/>
      </w:pPr>
      <w:r>
        <w:rPr>
          <w:rFonts w:ascii="Arial" w:cs="Arial" w:eastAsia="Arial" w:hAnsi="Arial"/>
          <w:sz w:val="22"/>
          <w:szCs w:val="22"/>
        </w:rPr>
        <w:t xml:space="preserve">Policy converged to an oscillatory limit cycle, not stable lock</w:t>
      </w:r>
    </w:p>
    <w:p>
      <w:pPr>
        <w:pStyle w:val="ListParagraph"/>
        <w:numPr>
          <w:ilvl w:val="0"/>
          <w:numId w:val="2"/>
        </w:numPr>
        <w:spacing w:before="40" w:after="40"/>
      </w:pPr>
      <w:r>
        <w:rPr>
          <w:rFonts w:ascii="Arial" w:cs="Arial" w:eastAsia="Arial" w:hAnsi="Arial"/>
          <w:sz w:val="22"/>
          <w:szCs w:val="22"/>
        </w:rPr>
        <w:t xml:space="preserve">Would perform poorly on hardware due to constant large frequency swings</w:t>
      </w:r>
    </w:p>
    <w:p>
      <w:pPr>
        <w:pStyle w:val="ListParagraph"/>
        <w:numPr>
          <w:ilvl w:val="0"/>
          <w:numId w:val="2"/>
        </w:numPr>
        <w:spacing w:before="40" w:after="40"/>
      </w:pPr>
      <w:r>
        <w:rPr>
          <w:rFonts w:ascii="Arial" w:cs="Arial" w:eastAsia="Arial" w:hAnsi="Arial"/>
          <w:sz w:val="22"/>
          <w:szCs w:val="22"/>
        </w:rPr>
        <w:t xml:space="preserve">Failure mode: Overshoot oscillation</w:t>
      </w:r>
    </w:p>
    <w:p>
      <w:pPr>
        <w:pBdr>
          <w:bottom w:val="single" w:color="2E75B6" w:sz="4" w:space="1"/>
        </w:pBdr>
        <w:spacing w:before="120" w:after="120"/>
      </w:pPr>
      <w:r>
        <w:t xml:space="preserve"/>
      </w:r>
    </w:p>
    <w:p>
      <w:pPr>
        <w:pStyle w:val="Heading1"/>
        <w:spacing w:before="360" w:after="120"/>
      </w:pPr>
      <w:r>
        <w:rPr>
          <w:rFonts w:ascii="Arial" w:cs="Arial" w:eastAsia="Arial" w:hAnsi="Arial"/>
          <w:b/>
          <w:bCs/>
          <w:sz w:val="32"/>
          <w:szCs w:val="32"/>
        </w:rPr>
        <w:t xml:space="preserve">4. V3 — Simulation Baseline (Final)</w:t>
      </w:r>
    </w:p>
    <w:p>
      <w:pPr>
        <w:pStyle w:val="Heading2"/>
        <w:spacing w:before="240" w:after="80"/>
      </w:pPr>
      <w:r>
        <w:rPr>
          <w:rFonts w:ascii="Arial" w:cs="Arial" w:eastAsia="Arial" w:hAnsi="Arial"/>
          <w:b/>
          <w:bCs/>
          <w:sz w:val="26"/>
          <w:szCs w:val="26"/>
        </w:rPr>
        <w:t xml:space="preserve">4.1 Specifications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5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Action multiplier</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3000 Hz per unit action (changed from 5000)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ent_coef</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0.005 (unchanged)</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State vector dimensions</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4 elements (unchanged)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State vector elements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[norm_freq, ema_amp, prev_ema_amp, prev_action]</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Observation space (low)</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[0.0, 0.0, 0.0, -1.0]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Observation space (high)</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 1.2, 1.2, 1.0]</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EMA alpha</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0.3</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Reward function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ema_amp + 0.5*(ema_amp - prev_ema_amp)*sign(action) - 0.01*|action|</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Soft penalty</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0.02 &lt; amp &lt; 0.15: -(0.15 - amp) * 2.0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Hard termination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 consecutive steps ema_amp &lt; 0.02, -5.0 reward</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Total timesteps</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2,000,000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Network architecture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[256, 256] MLP</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n_envs</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16 (SubprocVecEnv)</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Curriculum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drift_sigma anneals 100→500 Hz over first 750,000 steps</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Training time</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~19 minutes on RTX 3050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Peak VRAM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21.4 MB</w:t>
            </w:r>
          </w:p>
        </w:tc>
      </w:tr>
    </w:tbl>
    <w:p>
      <w:pPr>
        <w:spacing w:before="80" w:after="80"/>
      </w:pPr>
      <w:r>
        <w:t xml:space="preserve"/>
      </w:r>
    </w:p>
    <w:p>
      <w:pPr>
        <w:pStyle w:val="Heading2"/>
        <w:spacing w:before="240" w:after="80"/>
      </w:pPr>
      <w:r>
        <w:rPr>
          <w:rFonts w:ascii="Arial" w:cs="Arial" w:eastAsia="Arial" w:hAnsi="Arial"/>
          <w:b/>
          <w:bCs/>
          <w:sz w:val="26"/>
          <w:szCs w:val="26"/>
        </w:rPr>
        <w:t xml:space="preserve">4.2 What Changed from V2 and Why</w:t>
      </w:r>
    </w:p>
    <w:p>
      <w:pPr>
        <w:spacing w:before="60" w:after="60"/>
      </w:pPr>
      <w:r>
        <w:rPr>
          <w:rFonts w:ascii="Arial" w:cs="Arial" w:eastAsia="Arial" w:hAnsi="Arial"/>
          <w:b/>
          <w:bCs/>
          <w:sz w:val="22"/>
          <w:szCs w:val="22"/>
        </w:rPr>
        <w:t xml:space="preserve">Action multiplier 5000 → 3000: </w:t>
      </w:r>
      <w:r>
        <w:rPr>
          <w:rFonts w:ascii="Arial" w:cs="Arial" w:eastAsia="Arial" w:hAnsi="Arial"/>
          <w:sz w:val="22"/>
          <w:szCs w:val="22"/>
        </w:rPr>
        <w:t xml:space="preserve">3000 Hz/step is 30% of the -3dB bandwidth (10,000 Hz). This allows the agent to close on the peak within 3–4 steps without overshooting in a single action. At 3000 Hz/step the agent can outrun 500 Hz/step drift by 6×, providing adequate pursuit capability without the instability of V2.</w:t>
      </w:r>
    </w:p>
    <w:p>
      <w:pPr>
        <w:spacing w:before="80" w:after="80"/>
      </w:pPr>
      <w:r>
        <w:t xml:space="preserve"/>
      </w:r>
    </w:p>
    <w:p>
      <w:pPr>
        <w:spacing w:before="60" w:after="60"/>
      </w:pPr>
      <w:r>
        <w:rPr>
          <w:rFonts w:ascii="Arial" w:cs="Arial" w:eastAsia="Arial" w:hAnsi="Arial"/>
          <w:b/>
          <w:bCs/>
          <w:sz w:val="22"/>
          <w:szCs w:val="22"/>
        </w:rPr>
        <w:t xml:space="preserve">Full environment audit (8 findings resolved): </w:t>
      </w:r>
      <w:r>
        <w:rPr>
          <w:rFonts w:ascii="Arial" w:cs="Arial" w:eastAsia="Arial" w:hAnsi="Arial"/>
          <w:sz w:val="22"/>
          <w:szCs w:val="22"/>
        </w:rPr>
        <w:t xml:space="preserve">The reward function, EMA filter, observation space bounds, termination logic, and curriculum callback were all redesigned. The gradient-climbing bonus term (0.5 * Δamp * sign(action)) was added to explicitly reward directional improvement rather than just static amplitude. The soft penalty for very low amplitude discourages extended low-amplitude dwell without causing training instability.</w:t>
      </w:r>
    </w:p>
    <w:p>
      <w:pPr>
        <w:spacing w:before="80" w:after="80"/>
      </w:pPr>
      <w:r>
        <w:t xml:space="preserve"/>
      </w:r>
    </w:p>
    <w:p>
      <w:pPr>
        <w:pStyle w:val="Heading2"/>
        <w:spacing w:before="240" w:after="80"/>
      </w:pPr>
      <w:r>
        <w:rPr>
          <w:rFonts w:ascii="Arial" w:cs="Arial" w:eastAsia="Arial" w:hAnsi="Arial"/>
          <w:b/>
          <w:bCs/>
          <w:sz w:val="26"/>
          <w:szCs w:val="26"/>
        </w:rPr>
        <w:t xml:space="preserve">4.3 Measured Results (Authoritative — 100 Episodes)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Mean MAE</w:t>
            </w:r>
          </w:p>
        </w:tc>
        <w:tc>
          <w:tcPr>
            <w:tcW w:type="dxa" w:w="4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3333 ± 1932 Hz</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Mean Reward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174.3 ± 20.2</w:t>
            </w:r>
          </w:p>
        </w:tc>
      </w:tr>
      <w:tr>
        <w:tc>
          <w:tcPr>
            <w:tcW w:type="dxa" w:w="4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Amplitude &gt; 0.90 (near-resonance)</w:t>
            </w:r>
          </w:p>
        </w:tc>
        <w:tc>
          <w:tcPr>
            <w:tcW w:type="dxa" w:w="4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64.5% of timesteps</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Amplitude &lt; 0.70 (low-amplitude tail)</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13.4% of timesteps</w:t>
            </w:r>
          </w:p>
        </w:tc>
      </w:tr>
      <w:tr>
        <w:tc>
          <w:tcPr>
            <w:tcW w:type="dxa" w:w="4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Inference speed</w:t>
            </w:r>
          </w:p>
        </w:tc>
        <w:tc>
          <w:tcPr>
            <w:tcW w:type="dxa" w:w="4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1.070 ms/step (CUDA)</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Evaluation protocol</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 episodes, deterministic policy</w:t>
            </w:r>
          </w:p>
        </w:tc>
      </w:tr>
    </w:tbl>
    <w:p>
      <w:pPr>
        <w:spacing w:before="80" w:after="80"/>
      </w:pPr>
      <w:r>
        <w:t xml:space="preserve"/>
      </w:r>
    </w:p>
    <w:p>
      <w:pPr>
        <w:spacing w:before="60" w:after="60"/>
      </w:pPr>
      <w:r>
        <w:rPr>
          <w:rFonts w:ascii="Arial" w:cs="Arial" w:eastAsia="Arial" w:hAnsi="Arial"/>
          <w:b/>
          <w:bCs/>
          <w:sz w:val="22"/>
          <w:szCs w:val="22"/>
        </w:rPr>
        <w:t xml:space="preserve">Important note: </w:t>
      </w:r>
      <w:r>
        <w:rPr>
          <w:rFonts w:ascii="Arial" w:cs="Arial" w:eastAsia="Arial" w:hAnsi="Arial"/>
          <w:sz w:val="22"/>
          <w:szCs w:val="22"/>
        </w:rPr>
        <w:t xml:space="preserve">Earlier estimates of 70–75% near-resonance and 5–6% low tail were derived from only 10 evaluation episodes and were incorrect. The 100-episode numbers above are authoritative and must be used in all reporting.</w:t>
      </w:r>
    </w:p>
    <w:p>
      <w:pPr>
        <w:spacing w:before="80" w:after="80"/>
      </w:pPr>
      <w:r>
        <w:t xml:space="preserve"/>
      </w:r>
    </w:p>
    <w:p>
      <w:pPr>
        <w:pStyle w:val="Heading2"/>
        <w:spacing w:before="240" w:after="80"/>
      </w:pPr>
      <w:r>
        <w:rPr>
          <w:rFonts w:ascii="Arial" w:cs="Arial" w:eastAsia="Arial" w:hAnsi="Arial"/>
          <w:b/>
          <w:bCs/>
          <w:sz w:val="26"/>
          <w:szCs w:val="26"/>
        </w:rPr>
        <w:t xml:space="preserve">4.4 Root Cause Analysis</w:t>
      </w:r>
    </w:p>
    <w:p>
      <w:pPr>
        <w:spacing w:before="60" w:after="60"/>
      </w:pPr>
      <w:r>
        <w:rPr>
          <w:rFonts w:ascii="Arial" w:cs="Arial" w:eastAsia="Arial" w:hAnsi="Arial"/>
          <w:sz w:val="22"/>
          <w:szCs w:val="22"/>
        </w:rPr>
        <w:t xml:space="preserve">V3 eliminated oscillatory behaviour. The 3333 ± 1932 Hz MAE reveals the remaining limitation: the mean is manageable but the standard deviation is 58% of the mean, indicating high episode-to-episode variability. Some episodes track tightly; others fall far behind.</w:t>
      </w:r>
    </w:p>
    <w:p>
      <w:pPr>
        <w:spacing w:before="80" w:after="80"/>
      </w:pPr>
      <w:r>
        <w:t xml:space="preserve"/>
      </w:r>
    </w:p>
    <w:p>
      <w:pPr>
        <w:spacing w:before="60" w:after="60"/>
      </w:pPr>
      <w:r>
        <w:rPr>
          <w:rFonts w:ascii="Arial" w:cs="Arial" w:eastAsia="Arial" w:hAnsi="Arial"/>
          <w:sz w:val="22"/>
          <w:szCs w:val="22"/>
        </w:rPr>
        <w:t xml:space="preserve">The root cause is gradient blindness. The state vector gives the agent [ema_amp, prev_ema_amp] to infer gradient direction. The problem is that this comparison is corrupted by two simultaneous processes: the agent moved the frequency (agent-caused amplitude change) and the resonator drifted (physics-caused amplitude change). These two effects are entangled. During fast drift, the physics contribution dominates and the agent's implicit gradient estimate becomes unreliable, causing it to lose lock.</w:t>
      </w:r>
    </w:p>
    <w:p>
      <w:pPr>
        <w:spacing w:before="80" w:after="80"/>
      </w:pPr>
      <w:r>
        <w:t xml:space="preserve"/>
      </w:r>
    </w:p>
    <w:p>
      <w:pPr>
        <w:spacing w:before="60" w:after="60"/>
      </w:pPr>
      <w:r>
        <w:rPr>
          <w:rFonts w:ascii="Arial" w:cs="Arial" w:eastAsia="Arial" w:hAnsi="Arial"/>
          <w:sz w:val="22"/>
          <w:szCs w:val="22"/>
        </w:rPr>
        <w:t xml:space="preserve">The trajectory plots confirm this: during slow drift the agent tracks within ±2000 Hz. During extreme excursions to the 475 or 525 kHz boundaries, the agent clusters around 500 kHz and cannot follow. This is not a policy failure — it is a fundamental constraint of the implicit gradient estimation approach.</w:t>
      </w:r>
    </w:p>
    <w:p>
      <w:pPr>
        <w:spacing w:before="80" w:after="80"/>
      </w:pPr>
      <w:r>
        <w:t xml:space="preserve"/>
      </w:r>
    </w:p>
    <w:p>
      <w:pPr>
        <w:pStyle w:val="Heading2"/>
        <w:spacing w:before="240" w:after="80"/>
      </w:pPr>
      <w:r>
        <w:rPr>
          <w:rFonts w:ascii="Arial" w:cs="Arial" w:eastAsia="Arial" w:hAnsi="Arial"/>
          <w:b/>
          <w:bCs/>
          <w:sz w:val="26"/>
          <w:szCs w:val="26"/>
        </w:rPr>
        <w:t xml:space="preserve">4.5 Why V3 Is Final and Not Retrained</w:t>
      </w:r>
    </w:p>
    <w:p>
      <w:pPr>
        <w:spacing w:before="60" w:after="60"/>
      </w:pPr>
      <w:r>
        <w:rPr>
          <w:rFonts w:ascii="Arial" w:cs="Arial" w:eastAsia="Arial" w:hAnsi="Arial"/>
          <w:sz w:val="22"/>
          <w:szCs w:val="22"/>
        </w:rPr>
        <w:t xml:space="preserve">V3's limitations are not fixable by tuning the same architecture. Increasing the action multiplier reintroduces V2's overshoot. The remaining performance gap comes from the agent's inability to efficiently use gradient information for direction-finding. That requires an architectural change — providing explicit gradient information. That is V4.</w:t>
      </w:r>
    </w:p>
    <w:p>
      <w:pPr>
        <w:spacing w:before="80" w:after="80"/>
      </w:pPr>
      <w:r>
        <w:t xml:space="preserve"/>
      </w:r>
    </w:p>
    <w:p>
      <w:pPr>
        <w:pStyle w:val="Heading2"/>
        <w:spacing w:before="240" w:after="80"/>
      </w:pPr>
      <w:r>
        <w:rPr>
          <w:rFonts w:ascii="Arial" w:cs="Arial" w:eastAsia="Arial" w:hAnsi="Arial"/>
          <w:b/>
          <w:bCs/>
          <w:sz w:val="26"/>
          <w:szCs w:val="26"/>
        </w:rPr>
        <w:t xml:space="preserve">4.6 Pros and Cons</w:t>
      </w:r>
    </w:p>
    <w:p>
      <w:pPr>
        <w:spacing w:before="200" w:after="80"/>
      </w:pPr>
      <w:r>
        <w:rPr>
          <w:rFonts w:ascii="Arial" w:cs="Arial" w:eastAsia="Arial" w:hAnsi="Arial"/>
          <w:b/>
          <w:bCs/>
          <w:color w:val="2E75B6"/>
          <w:sz w:val="24"/>
          <w:szCs w:val="24"/>
        </w:rPr>
        <w:t xml:space="preserve">Pros</w:t>
      </w:r>
    </w:p>
    <w:p>
      <w:pPr>
        <w:pStyle w:val="ListParagraph"/>
        <w:numPr>
          <w:ilvl w:val="0"/>
          <w:numId w:val="2"/>
        </w:numPr>
        <w:spacing w:before="40" w:after="40"/>
      </w:pPr>
      <w:r>
        <w:rPr>
          <w:rFonts w:ascii="Arial" w:cs="Arial" w:eastAsia="Arial" w:hAnsi="Arial"/>
          <w:sz w:val="22"/>
          <w:szCs w:val="22"/>
        </w:rPr>
        <w:t xml:space="preserve">First version with controlled, non-oscillatory tracking behaviour</w:t>
      </w:r>
    </w:p>
    <w:p>
      <w:pPr>
        <w:pStyle w:val="ListParagraph"/>
        <w:numPr>
          <w:ilvl w:val="0"/>
          <w:numId w:val="2"/>
        </w:numPr>
        <w:spacing w:before="40" w:after="40"/>
      </w:pPr>
      <w:r>
        <w:rPr>
          <w:rFonts w:ascii="Arial" w:cs="Arial" w:eastAsia="Arial" w:hAnsi="Arial"/>
          <w:sz w:val="22"/>
          <w:szCs w:val="22"/>
        </w:rPr>
        <w:t xml:space="preserve">64.5% near-resonance time is a real, defensible control result</w:t>
      </w:r>
    </w:p>
    <w:p>
      <w:pPr>
        <w:pStyle w:val="ListParagraph"/>
        <w:numPr>
          <w:ilvl w:val="0"/>
          <w:numId w:val="2"/>
        </w:numPr>
        <w:spacing w:before="40" w:after="40"/>
      </w:pPr>
      <w:r>
        <w:rPr>
          <w:rFonts w:ascii="Arial" w:cs="Arial" w:eastAsia="Arial" w:hAnsi="Arial"/>
          <w:sz w:val="22"/>
          <w:szCs w:val="22"/>
        </w:rPr>
        <w:t xml:space="preserve">8-finding audit resolved all known environment bugs</w:t>
      </w:r>
    </w:p>
    <w:p>
      <w:pPr>
        <w:pStyle w:val="ListParagraph"/>
        <w:numPr>
          <w:ilvl w:val="0"/>
          <w:numId w:val="2"/>
        </w:numPr>
        <w:spacing w:before="40" w:after="40"/>
      </w:pPr>
      <w:r>
        <w:rPr>
          <w:rFonts w:ascii="Arial" w:cs="Arial" w:eastAsia="Arial" w:hAnsi="Arial"/>
          <w:sz w:val="22"/>
          <w:szCs w:val="22"/>
        </w:rPr>
        <w:t xml:space="preserve">Curriculum training produces robust convergence</w:t>
      </w:r>
    </w:p>
    <w:p>
      <w:pPr>
        <w:pStyle w:val="ListParagraph"/>
        <w:numPr>
          <w:ilvl w:val="0"/>
          <w:numId w:val="2"/>
        </w:numPr>
        <w:spacing w:before="40" w:after="40"/>
      </w:pPr>
      <w:r>
        <w:rPr>
          <w:rFonts w:ascii="Arial" w:cs="Arial" w:eastAsia="Arial" w:hAnsi="Arial"/>
          <w:sz w:val="22"/>
          <w:szCs w:val="22"/>
        </w:rPr>
        <w:t xml:space="preserve">Serves as a complete mini project result on its own</w:t>
      </w:r>
    </w:p>
    <w:p>
      <w:pPr>
        <w:pStyle w:val="ListParagraph"/>
        <w:numPr>
          <w:ilvl w:val="0"/>
          <w:numId w:val="2"/>
        </w:numPr>
        <w:spacing w:before="40" w:after="40"/>
      </w:pPr>
      <w:r>
        <w:rPr>
          <w:rFonts w:ascii="Arial" w:cs="Arial" w:eastAsia="Arial" w:hAnsi="Arial"/>
          <w:sz w:val="22"/>
          <w:szCs w:val="22"/>
        </w:rPr>
        <w:t xml:space="preserve">Hardware-deployable policy</w:t>
      </w:r>
    </w:p>
    <w:p>
      <w:pPr>
        <w:spacing w:before="200" w:after="80"/>
      </w:pPr>
      <w:r>
        <w:rPr>
          <w:rFonts w:ascii="Arial" w:cs="Arial" w:eastAsia="Arial" w:hAnsi="Arial"/>
          <w:b/>
          <w:bCs/>
          <w:color w:val="2E75B6"/>
          <w:sz w:val="24"/>
          <w:szCs w:val="24"/>
        </w:rPr>
        <w:t xml:space="preserve">Cons</w:t>
      </w:r>
    </w:p>
    <w:p>
      <w:pPr>
        <w:pStyle w:val="ListParagraph"/>
        <w:numPr>
          <w:ilvl w:val="0"/>
          <w:numId w:val="2"/>
        </w:numPr>
        <w:spacing w:before="40" w:after="40"/>
      </w:pPr>
      <w:r>
        <w:rPr>
          <w:rFonts w:ascii="Arial" w:cs="Arial" w:eastAsia="Arial" w:hAnsi="Arial"/>
          <w:sz w:val="22"/>
          <w:szCs w:val="22"/>
        </w:rPr>
        <w:t xml:space="preserve">13.4% low-amplitude tail — unacceptable for high-fidelity control applications</w:t>
      </w:r>
    </w:p>
    <w:p>
      <w:pPr>
        <w:pStyle w:val="ListParagraph"/>
        <w:numPr>
          <w:ilvl w:val="0"/>
          <w:numId w:val="2"/>
        </w:numPr>
        <w:spacing w:before="40" w:after="40"/>
      </w:pPr>
      <w:r>
        <w:rPr>
          <w:rFonts w:ascii="Arial" w:cs="Arial" w:eastAsia="Arial" w:hAnsi="Arial"/>
          <w:sz w:val="22"/>
          <w:szCs w:val="22"/>
        </w:rPr>
        <w:t xml:space="preserve">High MAE standard deviation (1932 Hz) — inconsistent episode-to-episode performance</w:t>
      </w:r>
    </w:p>
    <w:p>
      <w:pPr>
        <w:pStyle w:val="ListParagraph"/>
        <w:numPr>
          <w:ilvl w:val="0"/>
          <w:numId w:val="2"/>
        </w:numPr>
        <w:spacing w:before="40" w:after="40"/>
      </w:pPr>
      <w:r>
        <w:rPr>
          <w:rFonts w:ascii="Arial" w:cs="Arial" w:eastAsia="Arial" w:hAnsi="Arial"/>
          <w:sz w:val="22"/>
          <w:szCs w:val="22"/>
        </w:rPr>
        <w:t xml:space="preserve">High reward standard deviation (20.2) — variable episode quality</w:t>
      </w:r>
    </w:p>
    <w:p>
      <w:pPr>
        <w:pStyle w:val="ListParagraph"/>
        <w:numPr>
          <w:ilvl w:val="0"/>
          <w:numId w:val="2"/>
        </w:numPr>
        <w:spacing w:before="40" w:after="40"/>
      </w:pPr>
      <w:r>
        <w:rPr>
          <w:rFonts w:ascii="Arial" w:cs="Arial" w:eastAsia="Arial" w:hAnsi="Arial"/>
          <w:sz w:val="22"/>
          <w:szCs w:val="22"/>
        </w:rPr>
        <w:t xml:space="preserve">Physics-limited on extreme drift — cannot follow excursions beyond ~±5000 Hz</w:t>
      </w:r>
    </w:p>
    <w:p>
      <w:pPr>
        <w:pStyle w:val="ListParagraph"/>
        <w:numPr>
          <w:ilvl w:val="0"/>
          <w:numId w:val="2"/>
        </w:numPr>
        <w:spacing w:before="40" w:after="40"/>
      </w:pPr>
      <w:r>
        <w:rPr>
          <w:rFonts w:ascii="Arial" w:cs="Arial" w:eastAsia="Arial" w:hAnsi="Arial"/>
          <w:sz w:val="22"/>
          <w:szCs w:val="22"/>
        </w:rPr>
        <w:t xml:space="preserve">Implicit gradient estimation from a noisy, entangled signal</w:t>
      </w:r>
    </w:p>
    <w:p>
      <w:pPr>
        <w:pStyle w:val="ListParagraph"/>
        <w:numPr>
          <w:ilvl w:val="0"/>
          <w:numId w:val="2"/>
        </w:numPr>
        <w:spacing w:before="40" w:after="40"/>
      </w:pPr>
      <w:r>
        <w:rPr>
          <w:rFonts w:ascii="Arial" w:cs="Arial" w:eastAsia="Arial" w:hAnsi="Arial"/>
          <w:sz w:val="22"/>
          <w:szCs w:val="22"/>
        </w:rPr>
        <w:t xml:space="preserve">Failure mode: Gradient blindness during fast drift</w:t>
      </w:r>
    </w:p>
    <w:p>
      <w:pPr>
        <w:pBdr>
          <w:bottom w:val="single" w:color="2E75B6" w:sz="4" w:space="1"/>
        </w:pBdr>
        <w:spacing w:before="120" w:after="120"/>
      </w:pPr>
      <w:r>
        <w:t xml:space="preserve"/>
      </w:r>
    </w:p>
    <w:p>
      <w:pPr>
        <w:pStyle w:val="Heading1"/>
        <w:spacing w:before="360" w:after="120"/>
      </w:pPr>
      <w:r>
        <w:rPr>
          <w:rFonts w:ascii="Arial" w:cs="Arial" w:eastAsia="Arial" w:hAnsi="Arial"/>
          <w:b/>
          <w:bCs/>
          <w:sz w:val="32"/>
          <w:szCs w:val="32"/>
        </w:rPr>
        <w:t xml:space="preserve">5. V4 — Gradient-Augmented Observation Space (Current Best)</w:t>
      </w:r>
    </w:p>
    <w:p>
      <w:pPr>
        <w:pStyle w:val="Heading2"/>
        <w:spacing w:before="240" w:after="80"/>
      </w:pPr>
      <w:r>
        <w:rPr>
          <w:rFonts w:ascii="Arial" w:cs="Arial" w:eastAsia="Arial" w:hAnsi="Arial"/>
          <w:b/>
          <w:bCs/>
          <w:sz w:val="26"/>
          <w:szCs w:val="26"/>
        </w:rPr>
        <w:t xml:space="preserve">5.1 Specifications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5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Action multiplier</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3000 Hz per unit action (unchanged from V3)</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ent_coef</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0.005 (unchanged from V3)</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State vector dimensions</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5 elements (added gradient)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State vector elements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[norm_freq, ema_amp, prev_ema_amp, prev_action, amp_gradient]</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Observation space (low)</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[0.0, 0.0, 0.0, -1.0, -1.0]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Observation space (high)</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 1.2, 1.2, 1.0, 1.0]</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Gradient computation</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clip(delta_amp * 3000.0 / (delta_freq + 1.0), -1.0, 1.0)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EMA alpha</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 (unchanged)</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Reward function</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Identical to V3</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Termination logic</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Identical to V3</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Total timesteps</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2,000,000 per seed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Network architecture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[256, 256] MLP (unchanged)</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n_envs</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16 (unchanged)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Curriculum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Identical to V3</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Seeds trained</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5 independent seeds (0–4)</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Training time per seed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~35–48 minutes on RTX 3050</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Peak VRAM per seed</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21.4 MB</w:t>
            </w:r>
          </w:p>
        </w:tc>
      </w:tr>
    </w:tbl>
    <w:p>
      <w:pPr>
        <w:spacing w:before="80" w:after="80"/>
      </w:pPr>
      <w:r>
        <w:t xml:space="preserve"/>
      </w:r>
    </w:p>
    <w:p>
      <w:pPr>
        <w:pStyle w:val="Heading2"/>
        <w:spacing w:before="240" w:after="80"/>
      </w:pPr>
      <w:r>
        <w:rPr>
          <w:rFonts w:ascii="Arial" w:cs="Arial" w:eastAsia="Arial" w:hAnsi="Arial"/>
          <w:b/>
          <w:bCs/>
          <w:sz w:val="26"/>
          <w:szCs w:val="26"/>
        </w:rPr>
        <w:t xml:space="preserve">5.2 The Single Architectural Change and Why It Works</w:t>
      </w:r>
    </w:p>
    <w:p>
      <w:pPr>
        <w:spacing w:before="60" w:after="60"/>
      </w:pPr>
      <w:r>
        <w:rPr>
          <w:rFonts w:ascii="Arial" w:cs="Arial" w:eastAsia="Arial" w:hAnsi="Arial"/>
          <w:sz w:val="22"/>
          <w:szCs w:val="22"/>
        </w:rPr>
        <w:t xml:space="preserve">V4 makes exactly one change to V3: it adds a fifth observation element — an explicit finite-difference amplitude gradient estimate. This is the only variable that changed. Everything else — reward, termination, EMA, action space, network, hyperparameters — is byte-for-byte identical to V3. This is what makes the comparison scientifically valid.</w:t>
      </w:r>
    </w:p>
    <w:p>
      <w:pPr>
        <w:spacing w:before="80" w:after="80"/>
      </w:pPr>
      <w:r>
        <w:t xml:space="preserve"/>
      </w:r>
    </w:p>
    <w:p>
      <w:pPr>
        <w:spacing w:before="60" w:after="60"/>
      </w:pPr>
      <w:r>
        <w:rPr>
          <w:rFonts w:ascii="Arial" w:cs="Arial" w:eastAsia="Arial" w:hAnsi="Arial"/>
          <w:sz w:val="22"/>
          <w:szCs w:val="22"/>
        </w:rPr>
        <w:t xml:space="preserve">In V3, the agent inferred gradient direction by comparing ema_amp to prev_ema_amp. The problem: amplitude changed due to both the agent's frequency movement AND the resonator's drift simultaneously. These two causes are entangled in a single noisy signal. During fast drift, this signal degrades to noise and the agent loses directional information entirely.</w:t>
      </w:r>
    </w:p>
    <w:p>
      <w:pPr>
        <w:spacing w:before="80" w:after="80"/>
      </w:pPr>
      <w:r>
        <w:t xml:space="preserve"/>
      </w:r>
    </w:p>
    <w:p>
      <w:pPr>
        <w:spacing w:before="60" w:after="60"/>
      </w:pPr>
      <w:r>
        <w:rPr>
          <w:rFonts w:ascii="Arial" w:cs="Arial" w:eastAsia="Arial" w:hAnsi="Arial"/>
          <w:sz w:val="22"/>
          <w:szCs w:val="22"/>
        </w:rPr>
        <w:t xml:space="preserve">V4 computes a dedicated gradient: (delta_amp / delta_freq) — the amplitude change per unit of frequency shift caused exclusively by the agent's last action. The epsilon +1.0 in the denominator prevents division by zero when the action is zero. This signal directly answers: when you moved in that direction, did amplitude go up or down? The gradient is multiplied by 3000 (the action scale) and clipped to [-1, 1] to fit the observation bounds.</w:t>
      </w:r>
    </w:p>
    <w:p>
      <w:pPr>
        <w:spacing w:before="80" w:after="80"/>
      </w:pPr>
      <w:r>
        <w:t xml:space="preserve"/>
      </w:r>
    </w:p>
    <w:p>
      <w:pPr>
        <w:spacing w:before="60" w:after="60"/>
      </w:pPr>
      <w:r>
        <w:rPr>
          <w:rFonts w:ascii="Arial" w:cs="Arial" w:eastAsia="Arial" w:hAnsi="Arial"/>
          <w:sz w:val="22"/>
          <w:szCs w:val="22"/>
        </w:rPr>
        <w:t xml:space="preserve">The agent now has a direct readout of the local Lorentzian gradient rather than having to infer it from a noisy coupled signal. This is the mechanistic explanation for all observed improvements.</w:t>
      </w:r>
    </w:p>
    <w:p>
      <w:pPr>
        <w:spacing w:before="80" w:after="80"/>
      </w:pPr>
      <w:r>
        <w:t xml:space="preserve"/>
      </w:r>
    </w:p>
    <w:p>
      <w:pPr>
        <w:pStyle w:val="Heading2"/>
        <w:spacing w:before="240" w:after="80"/>
      </w:pPr>
      <w:r>
        <w:rPr>
          <w:rFonts w:ascii="Arial" w:cs="Arial" w:eastAsia="Arial" w:hAnsi="Arial"/>
          <w:b/>
          <w:bCs/>
          <w:sz w:val="26"/>
          <w:szCs w:val="26"/>
        </w:rPr>
        <w:t xml:space="preserve">5.3 Per-Seed Results (1000 Episodes Each — Authoritative)</w:t>
      </w:r>
    </w:p>
    <w:p>
      <w:pPr>
        <w:spacing w:before="80" w:after="80"/>
      </w:pPr>
      <w:r>
        <w:t xml:space="preserve"/>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800"/>
        <w:gridCol w:w="900"/>
        <w:gridCol w:w="900"/>
        <w:gridCol w:w="900"/>
        <w:gridCol w:w="900"/>
        <w:gridCol w:w="1300"/>
        <w:gridCol w:w="1260"/>
      </w:tblGrid>
      <w:tr>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Seed</w:t>
            </w:r>
          </w:p>
        </w:tc>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 (Hz)</w:t>
            </w:r>
          </w:p>
        </w:tc>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 Std</w:t>
            </w:r>
          </w:p>
        </w:tc>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Reward</w:t>
            </w:r>
          </w:p>
        </w:tc>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Reward Std</w:t>
            </w:r>
          </w:p>
        </w:tc>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Amp &gt;0.90</w:t>
            </w:r>
          </w:p>
        </w:tc>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Amp &lt;0.70</w:t>
            </w:r>
          </w:p>
        </w:tc>
        <w:tc>
          <w:tcPr>
            <w:tcW w:type="dxa" w:w="1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Eval Reward</w:t>
            </w:r>
          </w:p>
        </w:tc>
        <w:tc>
          <w:tcPr>
            <w:tcW w:type="dxa" w:w="12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at Step</w:t>
            </w:r>
          </w:p>
        </w:tc>
      </w:tr>
      <w:tr>
        <w:tc>
          <w:tcPr>
            <w:tcW w:type="dxa" w:w="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2288</w:t>
            </w:r>
          </w:p>
        </w:tc>
        <w:tc>
          <w:tcPr>
            <w:tcW w:type="dxa" w:w="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1702</w:t>
            </w:r>
          </w:p>
        </w:tc>
        <w:tc>
          <w:tcPr>
            <w:tcW w:type="dxa" w:w="9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184.5</w:t>
            </w:r>
          </w:p>
        </w:tc>
        <w:tc>
          <w:tcPr>
            <w:tcW w:type="dxa" w:w="9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17.3</w:t>
            </w:r>
          </w:p>
        </w:tc>
        <w:tc>
          <w:tcPr>
            <w:tcW w:type="dxa" w:w="9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85.0%</w:t>
            </w:r>
          </w:p>
        </w:tc>
        <w:tc>
          <w:tcPr>
            <w:tcW w:type="dxa" w:w="9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5.8%</w:t>
            </w:r>
          </w:p>
        </w:tc>
        <w:tc>
          <w:tcPr>
            <w:tcW w:type="dxa" w:w="13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193.13</w:t>
            </w:r>
          </w:p>
        </w:tc>
        <w:tc>
          <w:tcPr>
            <w:tcW w:type="dxa" w:w="12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1,750,000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1731</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780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190.2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7.0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91.2%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193.21</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1,850,000</w:t>
            </w:r>
          </w:p>
        </w:tc>
      </w:tr>
      <w:tr>
        <w:tc>
          <w:tcPr>
            <w:tcW w:type="dxa" w:w="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2</w:t>
            </w:r>
          </w:p>
        </w:tc>
        <w:tc>
          <w:tcPr>
            <w:tcW w:type="dxa" w:w="9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2608</w:t>
            </w:r>
          </w:p>
        </w:tc>
        <w:tc>
          <w:tcPr>
            <w:tcW w:type="dxa" w:w="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2010</w:t>
            </w:r>
          </w:p>
        </w:tc>
        <w:tc>
          <w:tcPr>
            <w:tcW w:type="dxa" w:w="9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181.4</w:t>
            </w:r>
          </w:p>
        </w:tc>
        <w:tc>
          <w:tcPr>
            <w:tcW w:type="dxa" w:w="9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20.3</w:t>
            </w:r>
          </w:p>
        </w:tc>
        <w:tc>
          <w:tcPr>
            <w:tcW w:type="dxa" w:w="9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78.9%</w:t>
            </w:r>
          </w:p>
        </w:tc>
        <w:tc>
          <w:tcPr>
            <w:tcW w:type="dxa" w:w="9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8.2%</w:t>
            </w:r>
          </w:p>
        </w:tc>
        <w:tc>
          <w:tcPr>
            <w:tcW w:type="dxa" w:w="13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191.83</w:t>
            </w:r>
          </w:p>
        </w:tc>
        <w:tc>
          <w:tcPr>
            <w:tcW w:type="dxa" w:w="12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1,800,000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1510</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367</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192.5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2.7</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94.8%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192.96</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2,000,000</w:t>
            </w:r>
          </w:p>
        </w:tc>
      </w:tr>
      <w:tr>
        <w:tc>
          <w:tcPr>
            <w:tcW w:type="dxa" w:w="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4</w:t>
            </w:r>
          </w:p>
        </w:tc>
        <w:tc>
          <w:tcPr>
            <w:tcW w:type="dxa" w:w="9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2887</w:t>
            </w:r>
          </w:p>
        </w:tc>
        <w:tc>
          <w:tcPr>
            <w:tcW w:type="dxa" w:w="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1844</w:t>
            </w:r>
          </w:p>
        </w:tc>
        <w:tc>
          <w:tcPr>
            <w:tcW w:type="dxa" w:w="9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178.9</w:t>
            </w:r>
          </w:p>
        </w:tc>
        <w:tc>
          <w:tcPr>
            <w:tcW w:type="dxa" w:w="9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18.7</w:t>
            </w:r>
          </w:p>
        </w:tc>
        <w:tc>
          <w:tcPr>
            <w:tcW w:type="dxa" w:w="9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74.3%</w:t>
            </w:r>
          </w:p>
        </w:tc>
        <w:tc>
          <w:tcPr>
            <w:tcW w:type="dxa" w:w="9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9.8%</w:t>
            </w:r>
          </w:p>
        </w:tc>
        <w:tc>
          <w:tcPr>
            <w:tcW w:type="dxa" w:w="13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189.19</w:t>
            </w:r>
          </w:p>
        </w:tc>
        <w:tc>
          <w:tcPr>
            <w:tcW w:type="dxa" w:w="12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1,700,000</w:t>
            </w:r>
          </w:p>
        </w:tc>
      </w:tr>
    </w:tbl>
    <w:p>
      <w:pPr>
        <w:spacing w:before="80" w:after="80"/>
      </w:pPr>
      <w:r>
        <w:t xml:space="preserve"/>
      </w:r>
    </w:p>
    <w:p>
      <w:pPr>
        <w:pStyle w:val="Heading2"/>
        <w:spacing w:before="240" w:after="80"/>
      </w:pPr>
      <w:r>
        <w:rPr>
          <w:rFonts w:ascii="Arial" w:cs="Arial" w:eastAsia="Arial" w:hAnsi="Arial"/>
          <w:b/>
          <w:bCs/>
          <w:sz w:val="26"/>
          <w:szCs w:val="26"/>
        </w:rPr>
        <w:t xml:space="preserve">5.4 Aggregate V4 vs V3 Comparison</w:t>
      </w:r>
    </w:p>
    <w:p>
      <w:pPr>
        <w:spacing w:before="80"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1360"/>
      </w:tblGrid>
      <w:tr>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V3</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V4 Mean</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V4 Std</w:t>
            </w:r>
          </w:p>
        </w:tc>
        <w:tc>
          <w:tcPr>
            <w:tcW w:type="dxa" w:w="1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Change</w:t>
            </w:r>
          </w:p>
        </w:tc>
      </w:tr>
      <w:tr>
        <w:tc>
          <w:tcPr>
            <w:tcW w:type="dxa" w:w="2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MAE (Hz)</w:t>
            </w:r>
          </w:p>
        </w:tc>
        <w:tc>
          <w:tcPr>
            <w:tcW w:type="dxa" w:w="1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3333</w:t>
            </w:r>
          </w:p>
        </w:tc>
        <w:tc>
          <w:tcPr>
            <w:tcW w:type="dxa" w:w="1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2205</w:t>
            </w:r>
          </w:p>
        </w:tc>
        <w:tc>
          <w:tcPr>
            <w:tcW w:type="dxa" w:w="1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518</w:t>
            </w:r>
          </w:p>
        </w:tc>
        <w:tc>
          <w:tcPr>
            <w:tcW w:type="dxa" w:w="13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-34%</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Mean Reward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174.3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185.5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5.1</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+6.4%</w:t>
            </w:r>
          </w:p>
        </w:tc>
      </w:tr>
      <w:tr>
        <w:tc>
          <w:tcPr>
            <w:tcW w:type="dxa" w:w="2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Amplitude &gt; 0.90</w:t>
            </w:r>
          </w:p>
        </w:tc>
        <w:tc>
          <w:tcPr>
            <w:tcW w:type="dxa" w:w="1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64.5%</w:t>
            </w:r>
          </w:p>
        </w:tc>
        <w:tc>
          <w:tcPr>
            <w:tcW w:type="dxa" w:w="1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84.8%</w:t>
            </w:r>
          </w:p>
        </w:tc>
        <w:tc>
          <w:tcPr>
            <w:tcW w:type="dxa" w:w="1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7.6%</w:t>
            </w:r>
          </w:p>
        </w:tc>
        <w:tc>
          <w:tcPr>
            <w:tcW w:type="dxa" w:w="13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+20.3 pp</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Amplitude &lt; 0.70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13.4%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3.7%</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-62%</w:t>
            </w:r>
          </w:p>
        </w:tc>
      </w:tr>
      <w:tr>
        <w:tc>
          <w:tcPr>
            <w:tcW w:type="dxa" w:w="2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Reward std</w:t>
            </w:r>
          </w:p>
        </w:tc>
        <w:tc>
          <w:tcPr>
            <w:tcW w:type="dxa" w:w="1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20.2</w:t>
            </w:r>
          </w:p>
        </w:tc>
        <w:tc>
          <w:tcPr>
            <w:tcW w:type="dxa" w:w="1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5.1</w:t>
            </w:r>
          </w:p>
        </w:tc>
        <w:tc>
          <w:tcPr>
            <w:tcW w:type="dxa" w:w="1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w:t>
            </w:r>
          </w:p>
        </w:tc>
        <w:tc>
          <w:tcPr>
            <w:tcW w:type="dxa" w:w="13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-75%</w:t>
            </w:r>
          </w:p>
        </w:tc>
      </w:tr>
    </w:tbl>
    <w:p>
      <w:pPr>
        <w:spacing w:before="80" w:after="80"/>
      </w:pPr>
      <w:r>
        <w:t xml:space="preserve"/>
      </w:r>
    </w:p>
    <w:p>
      <w:pPr>
        <w:pStyle w:val="Heading2"/>
        <w:spacing w:before="240" w:after="80"/>
      </w:pPr>
      <w:r>
        <w:rPr>
          <w:rFonts w:ascii="Arial" w:cs="Arial" w:eastAsia="Arial" w:hAnsi="Arial"/>
          <w:b/>
          <w:bCs/>
          <w:sz w:val="26"/>
          <w:szCs w:val="26"/>
        </w:rPr>
        <w:t xml:space="preserve">5.5 Seed-by-Seed Analysis</w:t>
      </w:r>
    </w:p>
    <w:p>
      <w:pPr>
        <w:spacing w:before="80" w:after="80"/>
      </w:pPr>
      <w:r>
        <w:t xml:space="preserve"/>
      </w:r>
    </w:p>
    <w:p>
      <w:pPr>
        <w:spacing w:before="200" w:after="80"/>
      </w:pPr>
      <w:r>
        <w:rPr>
          <w:rFonts w:ascii="Arial" w:cs="Arial" w:eastAsia="Arial" w:hAnsi="Arial"/>
          <w:b/>
          <w:bCs/>
          <w:color w:val="2E75B6"/>
          <w:sz w:val="24"/>
          <w:szCs w:val="24"/>
        </w:rPr>
        <w:t xml:space="preserve">Seed 0 — Median Performance</w:t>
      </w:r>
    </w:p>
    <w:p>
      <w:pPr>
        <w:spacing w:before="60" w:after="60"/>
      </w:pPr>
      <w:r>
        <w:rPr>
          <w:rFonts w:ascii="Arial" w:cs="Arial" w:eastAsia="Arial" w:hAnsi="Arial"/>
          <w:sz w:val="22"/>
          <w:szCs w:val="22"/>
        </w:rPr>
        <w:t xml:space="preserve">Near-resonance time 85%, low tail 5.8%. Reward std of 17.3 indicates some episode variability remains. Best model found at 1,750,000 steps — converged well before training ended. Represents the median V4 performance level.</w:t>
      </w:r>
    </w:p>
    <w:p>
      <w:pPr>
        <w:spacing w:before="80" w:after="80"/>
      </w:pPr>
      <w:r>
        <w:t xml:space="preserve"/>
      </w:r>
    </w:p>
    <w:p>
      <w:pPr>
        <w:spacing w:before="200" w:after="80"/>
      </w:pPr>
      <w:r>
        <w:rPr>
          <w:rFonts w:ascii="Arial" w:cs="Arial" w:eastAsia="Arial" w:hAnsi="Arial"/>
          <w:b/>
          <w:bCs/>
          <w:color w:val="2E75B6"/>
          <w:sz w:val="24"/>
          <w:szCs w:val="24"/>
        </w:rPr>
        <w:t xml:space="preserve">Seed 1 — High Performance</w:t>
      </w:r>
    </w:p>
    <w:p>
      <w:pPr>
        <w:spacing w:before="60" w:after="60"/>
      </w:pPr>
      <w:r>
        <w:rPr>
          <w:rFonts w:ascii="Arial" w:cs="Arial" w:eastAsia="Arial" w:hAnsi="Arial"/>
          <w:sz w:val="22"/>
          <w:szCs w:val="22"/>
        </w:rPr>
        <w:t xml:space="preserve">Low-amplitude tail of 1.3% — near zero. Reward std of 7.0, MAE std of 780 Hz. Highly consistent policy. Best model at 1,850,000 steps. This seed found a policy manifold where the gradient signal is used most effectively.</w:t>
      </w:r>
    </w:p>
    <w:p>
      <w:pPr>
        <w:spacing w:before="80" w:after="80"/>
      </w:pPr>
      <w:r>
        <w:t xml:space="preserve"/>
      </w:r>
    </w:p>
    <w:p>
      <w:pPr>
        <w:spacing w:before="200" w:after="80"/>
      </w:pPr>
      <w:r>
        <w:rPr>
          <w:rFonts w:ascii="Arial" w:cs="Arial" w:eastAsia="Arial" w:hAnsi="Arial"/>
          <w:b/>
          <w:bCs/>
          <w:color w:val="2E75B6"/>
          <w:sz w:val="24"/>
          <w:szCs w:val="24"/>
        </w:rPr>
        <w:t xml:space="preserve">Seed 2 — Weakest Result</w:t>
      </w:r>
    </w:p>
    <w:p>
      <w:pPr>
        <w:spacing w:before="60" w:after="60"/>
      </w:pPr>
      <w:r>
        <w:rPr>
          <w:rFonts w:ascii="Arial" w:cs="Arial" w:eastAsia="Arial" w:hAnsi="Arial"/>
          <w:sz w:val="22"/>
          <w:szCs w:val="22"/>
        </w:rPr>
        <w:t xml:space="preserve">Near-resonance time 78.9%, low tail 8.2%. Reward std 20.3 — back to V3 territory. MAE std 2010 Hz. Illustrates natural seed variance in PPO. Even this weakest seed outperforms V3 on every single metric, confirming the improvement is consistent, not a lucky initialisation.</w:t>
      </w:r>
    </w:p>
    <w:p>
      <w:pPr>
        <w:spacing w:before="80" w:after="80"/>
      </w:pPr>
      <w:r>
        <w:t xml:space="preserve"/>
      </w:r>
    </w:p>
    <w:p>
      <w:pPr>
        <w:spacing w:before="200" w:after="80"/>
      </w:pPr>
      <w:r>
        <w:rPr>
          <w:rFonts w:ascii="Arial" w:cs="Arial" w:eastAsia="Arial" w:hAnsi="Arial"/>
          <w:b/>
          <w:bCs/>
          <w:color w:val="2E75B6"/>
          <w:sz w:val="24"/>
          <w:szCs w:val="24"/>
        </w:rPr>
        <w:t xml:space="preserve">Seed 3 — Best Overall (Recommended for Hardware Deployment)</w:t>
      </w:r>
    </w:p>
    <w:p>
      <w:pPr>
        <w:spacing w:before="60" w:after="60"/>
      </w:pPr>
      <w:r>
        <w:rPr>
          <w:rFonts w:ascii="Arial" w:cs="Arial" w:eastAsia="Arial" w:hAnsi="Arial"/>
          <w:sz w:val="22"/>
          <w:szCs w:val="22"/>
        </w:rPr>
        <w:t xml:space="preserve">MAE 1510 ± 367 Hz — lowest mean and tightest standard deviation of any seed. Near-resonance time 94.8%. Low-amplitude tail 0.4% — essentially zero. Reward std of 2.7 is extremely tight. Best model at 2,000,000 steps — still improving at training end, suggesting V4 may not have fully converged at 2M timesteps. Use this seed for all hardware deployment.</w:t>
      </w:r>
    </w:p>
    <w:p>
      <w:pPr>
        <w:spacing w:before="80" w:after="80"/>
      </w:pPr>
      <w:r>
        <w:t xml:space="preserve"/>
      </w:r>
    </w:p>
    <w:p>
      <w:pPr>
        <w:spacing w:before="200" w:after="80"/>
      </w:pPr>
      <w:r>
        <w:rPr>
          <w:rFonts w:ascii="Arial" w:cs="Arial" w:eastAsia="Arial" w:hAnsi="Arial"/>
          <w:b/>
          <w:bCs/>
          <w:color w:val="2E75B6"/>
          <w:sz w:val="24"/>
          <w:szCs w:val="24"/>
        </w:rPr>
        <w:t xml:space="preserve">Seed 4 — Second Weakest</w:t>
      </w:r>
    </w:p>
    <w:p>
      <w:pPr>
        <w:spacing w:before="60" w:after="60"/>
      </w:pPr>
      <w:r>
        <w:rPr>
          <w:rFonts w:ascii="Arial" w:cs="Arial" w:eastAsia="Arial" w:hAnsi="Arial"/>
          <w:sz w:val="22"/>
          <w:szCs w:val="22"/>
        </w:rPr>
        <w:t xml:space="preserve">Near-resonance time 74.3%, low tail 9.8%. MAE 2887 ± 1844 Hz. Best model at 1,700,000 steps. Policy converged to a lower-performance local optimum early. Most closely resembles V3 performance profile. Confirms that V4's improvement is probabilistic — most initialisations find a substantially better policy, but not all.</w:t>
      </w:r>
    </w:p>
    <w:p>
      <w:pPr>
        <w:spacing w:before="80" w:after="80"/>
      </w:pPr>
      <w:r>
        <w:t xml:space="preserve"/>
      </w:r>
    </w:p>
    <w:p>
      <w:pPr>
        <w:pStyle w:val="Heading2"/>
        <w:spacing w:before="240" w:after="80"/>
      </w:pPr>
      <w:r>
        <w:rPr>
          <w:rFonts w:ascii="Arial" w:cs="Arial" w:eastAsia="Arial" w:hAnsi="Arial"/>
          <w:b/>
          <w:bCs/>
          <w:sz w:val="26"/>
          <w:szCs w:val="26"/>
        </w:rPr>
        <w:t xml:space="preserve">5.6 The Bimodal Seed Pattern</w:t>
      </w:r>
    </w:p>
    <w:p>
      <w:pPr>
        <w:spacing w:before="60" w:after="60"/>
      </w:pPr>
      <w:r>
        <w:rPr>
          <w:rFonts w:ascii="Arial" w:cs="Arial" w:eastAsia="Arial" w:hAnsi="Arial"/>
          <w:sz w:val="22"/>
          <w:szCs w:val="22"/>
        </w:rPr>
        <w:t xml:space="preserve">Seeds 1 and 3 are exceptional. Seeds 0, 2, and 4 are good but moderate. This bimodal behaviour is common in PPO — the policy landscape has multiple basins of attraction. Some random initialisations land in a basin where the gradient signal is leveraged effectively; others converge to a shallower optimum. The 5-seed aggregate correctly captures this variance and reports it honestly. This is why multi-seed evaluation is non-negotiable for publication.</w:t>
      </w:r>
    </w:p>
    <w:p>
      <w:pPr>
        <w:spacing w:before="80" w:after="80"/>
      </w:pPr>
      <w:r>
        <w:t xml:space="preserve"/>
      </w:r>
    </w:p>
    <w:p>
      <w:pPr>
        <w:pStyle w:val="Heading2"/>
        <w:spacing w:before="240" w:after="80"/>
      </w:pPr>
      <w:r>
        <w:rPr>
          <w:rFonts w:ascii="Arial" w:cs="Arial" w:eastAsia="Arial" w:hAnsi="Arial"/>
          <w:b/>
          <w:bCs/>
          <w:sz w:val="26"/>
          <w:szCs w:val="26"/>
        </w:rPr>
        <w:t xml:space="preserve">5.7 Pros and Cons</w:t>
      </w:r>
    </w:p>
    <w:p>
      <w:pPr>
        <w:spacing w:before="200" w:after="80"/>
      </w:pPr>
      <w:r>
        <w:rPr>
          <w:rFonts w:ascii="Arial" w:cs="Arial" w:eastAsia="Arial" w:hAnsi="Arial"/>
          <w:b/>
          <w:bCs/>
          <w:color w:val="2E75B6"/>
          <w:sz w:val="24"/>
          <w:szCs w:val="24"/>
        </w:rPr>
        <w:t xml:space="preserve">Pros</w:t>
      </w:r>
    </w:p>
    <w:p>
      <w:pPr>
        <w:pStyle w:val="ListParagraph"/>
        <w:numPr>
          <w:ilvl w:val="0"/>
          <w:numId w:val="2"/>
        </w:numPr>
        <w:spacing w:before="40" w:after="40"/>
      </w:pPr>
      <w:r>
        <w:rPr>
          <w:rFonts w:ascii="Arial" w:cs="Arial" w:eastAsia="Arial" w:hAnsi="Arial"/>
          <w:sz w:val="22"/>
          <w:szCs w:val="22"/>
        </w:rPr>
        <w:t xml:space="preserve">Single controlled architectural change — scientifically rigorous comparison with V3</w:t>
      </w:r>
    </w:p>
    <w:p>
      <w:pPr>
        <w:pStyle w:val="ListParagraph"/>
        <w:numPr>
          <w:ilvl w:val="0"/>
          <w:numId w:val="2"/>
        </w:numPr>
        <w:spacing w:before="40" w:after="40"/>
      </w:pPr>
      <w:r>
        <w:rPr>
          <w:rFonts w:ascii="Arial" w:cs="Arial" w:eastAsia="Arial" w:hAnsi="Arial"/>
          <w:sz w:val="22"/>
          <w:szCs w:val="22"/>
        </w:rPr>
        <w:t xml:space="preserve">34% MAE reduction across 5 seeds</w:t>
      </w:r>
    </w:p>
    <w:p>
      <w:pPr>
        <w:pStyle w:val="ListParagraph"/>
        <w:numPr>
          <w:ilvl w:val="0"/>
          <w:numId w:val="2"/>
        </w:numPr>
        <w:spacing w:before="40" w:after="40"/>
      </w:pPr>
      <w:r>
        <w:rPr>
          <w:rFonts w:ascii="Arial" w:cs="Arial" w:eastAsia="Arial" w:hAnsi="Arial"/>
          <w:sz w:val="22"/>
          <w:szCs w:val="22"/>
        </w:rPr>
        <w:t xml:space="preserve">Low-amplitude tail reduced by 62% — from 13.4% to 5.1%</w:t>
      </w:r>
    </w:p>
    <w:p>
      <w:pPr>
        <w:pStyle w:val="ListParagraph"/>
        <w:numPr>
          <w:ilvl w:val="0"/>
          <w:numId w:val="2"/>
        </w:numPr>
        <w:spacing w:before="40" w:after="40"/>
      </w:pPr>
      <w:r>
        <w:rPr>
          <w:rFonts w:ascii="Arial" w:cs="Arial" w:eastAsia="Arial" w:hAnsi="Arial"/>
          <w:sz w:val="22"/>
          <w:szCs w:val="22"/>
        </w:rPr>
        <w:t xml:space="preserve">Reward standard deviation collapsed 75% — far more consistent policy</w:t>
      </w:r>
    </w:p>
    <w:p>
      <w:pPr>
        <w:pStyle w:val="ListParagraph"/>
        <w:numPr>
          <w:ilvl w:val="0"/>
          <w:numId w:val="2"/>
        </w:numPr>
        <w:spacing w:before="40" w:after="40"/>
      </w:pPr>
      <w:r>
        <w:rPr>
          <w:rFonts w:ascii="Arial" w:cs="Arial" w:eastAsia="Arial" w:hAnsi="Arial"/>
          <w:sz w:val="22"/>
          <w:szCs w:val="22"/>
        </w:rPr>
        <w:t xml:space="preserve">Best seed (seed 3): 94.8% near-resonance time, 0.4% low-amplitude tail</w:t>
      </w:r>
    </w:p>
    <w:p>
      <w:pPr>
        <w:pStyle w:val="ListParagraph"/>
        <w:numPr>
          <w:ilvl w:val="0"/>
          <w:numId w:val="2"/>
        </w:numPr>
        <w:spacing w:before="40" w:after="40"/>
      </w:pPr>
      <w:r>
        <w:rPr>
          <w:rFonts w:ascii="Arial" w:cs="Arial" w:eastAsia="Arial" w:hAnsi="Arial"/>
          <w:sz w:val="22"/>
          <w:szCs w:val="22"/>
        </w:rPr>
        <w:t xml:space="preserve">Multi-seed evaluation protocol is publication-standard</w:t>
      </w:r>
    </w:p>
    <w:p>
      <w:pPr>
        <w:pStyle w:val="ListParagraph"/>
        <w:numPr>
          <w:ilvl w:val="0"/>
          <w:numId w:val="2"/>
        </w:numPr>
        <w:spacing w:before="40" w:after="40"/>
      </w:pPr>
      <w:r>
        <w:rPr>
          <w:rFonts w:ascii="Arial" w:cs="Arial" w:eastAsia="Arial" w:hAnsi="Arial"/>
          <w:sz w:val="22"/>
          <w:szCs w:val="22"/>
        </w:rPr>
        <w:t xml:space="preserve">Mechanistic explanation is clear, testable, and physically motivated</w:t>
      </w:r>
    </w:p>
    <w:p>
      <w:pPr>
        <w:pStyle w:val="ListParagraph"/>
        <w:numPr>
          <w:ilvl w:val="0"/>
          <w:numId w:val="2"/>
        </w:numPr>
        <w:spacing w:before="40" w:after="40"/>
      </w:pPr>
      <w:r>
        <w:rPr>
          <w:rFonts w:ascii="Arial" w:cs="Arial" w:eastAsia="Arial" w:hAnsi="Arial"/>
          <w:sz w:val="22"/>
          <w:szCs w:val="22"/>
        </w:rPr>
        <w:t xml:space="preserve">Directly deployable to hardware via ResonatorEnvHardware class</w:t>
      </w:r>
    </w:p>
    <w:p>
      <w:pPr>
        <w:spacing w:before="200" w:after="80"/>
      </w:pPr>
      <w:r>
        <w:rPr>
          <w:rFonts w:ascii="Arial" w:cs="Arial" w:eastAsia="Arial" w:hAnsi="Arial"/>
          <w:b/>
          <w:bCs/>
          <w:color w:val="2E75B6"/>
          <w:sz w:val="24"/>
          <w:szCs w:val="24"/>
        </w:rPr>
        <w:t xml:space="preserve">Cons</w:t>
      </w:r>
    </w:p>
    <w:p>
      <w:pPr>
        <w:pStyle w:val="ListParagraph"/>
        <w:numPr>
          <w:ilvl w:val="0"/>
          <w:numId w:val="2"/>
        </w:numPr>
        <w:spacing w:before="40" w:after="40"/>
      </w:pPr>
      <w:r>
        <w:rPr>
          <w:rFonts w:ascii="Arial" w:cs="Arial" w:eastAsia="Arial" w:hAnsi="Arial"/>
          <w:sz w:val="22"/>
          <w:szCs w:val="22"/>
        </w:rPr>
        <w:t xml:space="preserve">Seed variance is significant — seed 4 achieves only 74.3% near-resonance vs seed 3's 94.8%</w:t>
      </w:r>
    </w:p>
    <w:p>
      <w:pPr>
        <w:pStyle w:val="ListParagraph"/>
        <w:numPr>
          <w:ilvl w:val="0"/>
          <w:numId w:val="2"/>
        </w:numPr>
        <w:spacing w:before="40" w:after="40"/>
      </w:pPr>
      <w:r>
        <w:rPr>
          <w:rFonts w:ascii="Arial" w:cs="Arial" w:eastAsia="Arial" w:hAnsi="Arial"/>
          <w:sz w:val="22"/>
          <w:szCs w:val="22"/>
        </w:rPr>
        <w:t xml:space="preserve">Seed 3 still improving at 2M steps — full convergence not confirmed</w:t>
      </w:r>
    </w:p>
    <w:p>
      <w:pPr>
        <w:pStyle w:val="ListParagraph"/>
        <w:numPr>
          <w:ilvl w:val="0"/>
          <w:numId w:val="2"/>
        </w:numPr>
        <w:spacing w:before="40" w:after="40"/>
      </w:pPr>
      <w:r>
        <w:rPr>
          <w:rFonts w:ascii="Arial" w:cs="Arial" w:eastAsia="Arial" w:hAnsi="Arial"/>
          <w:sz w:val="22"/>
          <w:szCs w:val="22"/>
        </w:rPr>
        <w:t xml:space="preserve">Gradient signal is a finite-difference estimate, not a true gradient — noisy at very small frequency steps</w:t>
      </w:r>
    </w:p>
    <w:p>
      <w:pPr>
        <w:pStyle w:val="ListParagraph"/>
        <w:numPr>
          <w:ilvl w:val="0"/>
          <w:numId w:val="2"/>
        </w:numPr>
        <w:spacing w:before="40" w:after="40"/>
      </w:pPr>
      <w:r>
        <w:rPr>
          <w:rFonts w:ascii="Arial" w:cs="Arial" w:eastAsia="Arial" w:hAnsi="Arial"/>
          <w:sz w:val="22"/>
          <w:szCs w:val="22"/>
        </w:rPr>
        <w:t xml:space="preserve">Extreme drift excursions still cause tracking failure — fundamental physics limitation not resolved</w:t>
      </w:r>
    </w:p>
    <w:p>
      <w:pPr>
        <w:pStyle w:val="ListParagraph"/>
        <w:numPr>
          <w:ilvl w:val="0"/>
          <w:numId w:val="2"/>
        </w:numPr>
        <w:spacing w:before="40" w:after="40"/>
      </w:pPr>
      <w:r>
        <w:rPr>
          <w:rFonts w:ascii="Arial" w:cs="Arial" w:eastAsia="Arial" w:hAnsi="Arial"/>
          <w:sz w:val="22"/>
          <w:szCs w:val="22"/>
        </w:rPr>
        <w:t xml:space="preserve">Inference speed slightly higher than V3 (1.284 ms vs 1.070 ms) due to larger observation vector</w:t>
      </w:r>
    </w:p>
    <w:p>
      <w:pPr>
        <w:pBdr>
          <w:bottom w:val="single" w:color="2E75B6" w:sz="4" w:space="1"/>
        </w:pBdr>
        <w:spacing w:before="120" w:after="120"/>
      </w:pPr>
      <w:r>
        <w:t xml:space="preserve"/>
      </w:r>
    </w:p>
    <w:p>
      <w:pPr>
        <w:pStyle w:val="Heading1"/>
        <w:spacing w:before="360" w:after="120"/>
      </w:pPr>
      <w:r>
        <w:rPr>
          <w:rFonts w:ascii="Arial" w:cs="Arial" w:eastAsia="Arial" w:hAnsi="Arial"/>
          <w:b/>
          <w:bCs/>
          <w:sz w:val="32"/>
          <w:szCs w:val="32"/>
        </w:rPr>
        <w:t xml:space="preserve">6. Cross-Version Comparison Summary</w:t>
      </w:r>
    </w:p>
    <w:p>
      <w:pPr>
        <w:spacing w:before="80"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540"/>
        <w:gridCol w:w="1540"/>
        <w:gridCol w:w="1540"/>
        <w:gridCol w:w="1540"/>
      </w:tblGrid>
      <w:t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5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V1</w:t>
            </w:r>
          </w:p>
        </w:tc>
        <w:tc>
          <w:tcPr>
            <w:tcW w:type="dxa" w:w="15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V2</w:t>
            </w:r>
          </w:p>
        </w:tc>
        <w:tc>
          <w:tcPr>
            <w:tcW w:type="dxa" w:w="15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V3</w:t>
            </w:r>
          </w:p>
        </w:tc>
        <w:tc>
          <w:tcPr>
            <w:tcW w:type="dxa" w:w="15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V4 (mean)</w:t>
            </w:r>
          </w:p>
        </w:tc>
      </w:tr>
      <w:tr>
        <w:tc>
          <w:tcPr>
            <w:tcW w:type="dxa" w:w="2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Action multiplier</w:t>
            </w:r>
          </w:p>
        </w:tc>
        <w:tc>
          <w:tcPr>
            <w:tcW w:type="dxa" w:w="154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2000</w:t>
            </w:r>
          </w:p>
        </w:tc>
        <w:tc>
          <w:tcPr>
            <w:tcW w:type="dxa" w:w="154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5000</w:t>
            </w:r>
          </w:p>
        </w:tc>
        <w:tc>
          <w:tcPr>
            <w:tcW w:type="dxa" w:w="154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3000</w:t>
            </w:r>
          </w:p>
        </w:tc>
        <w:tc>
          <w:tcPr>
            <w:tcW w:type="dxa" w:w="154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3000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State dimensions</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w:t>
            </w:r>
          </w:p>
        </w:tc>
      </w:tr>
      <w:tr>
        <w:tc>
          <w:tcPr>
            <w:tcW w:type="dxa" w:w="2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Training timesteps</w:t>
            </w:r>
          </w:p>
        </w:tc>
        <w:tc>
          <w:tcPr>
            <w:tcW w:type="dxa" w:w="154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~20,000</w:t>
            </w:r>
          </w:p>
        </w:tc>
        <w:tc>
          <w:tcPr>
            <w:tcW w:type="dxa" w:w="154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2,000,000</w:t>
            </w:r>
          </w:p>
        </w:tc>
        <w:tc>
          <w:tcPr>
            <w:tcW w:type="dxa" w:w="154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2,000,000</w:t>
            </w:r>
          </w:p>
        </w:tc>
        <w:tc>
          <w:tcPr>
            <w:tcW w:type="dxa" w:w="154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2,000,000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Amp &gt; 0.90</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~35%</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~62%</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64.5%</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84.8%</w:t>
            </w:r>
          </w:p>
        </w:tc>
      </w:tr>
      <w:tr>
        <w:tc>
          <w:tcPr>
            <w:tcW w:type="dxa" w:w="2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Amp &lt; 0.70</w:t>
            </w:r>
          </w:p>
        </w:tc>
        <w:tc>
          <w:tcPr>
            <w:tcW w:type="dxa" w:w="154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~20%</w:t>
            </w:r>
          </w:p>
        </w:tc>
        <w:tc>
          <w:tcPr>
            <w:tcW w:type="dxa" w:w="154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~9%</w:t>
            </w:r>
          </w:p>
        </w:tc>
        <w:tc>
          <w:tcPr>
            <w:tcW w:type="dxa" w:w="154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13.4%</w:t>
            </w:r>
          </w:p>
        </w:tc>
        <w:tc>
          <w:tcPr>
            <w:tcW w:type="dxa" w:w="154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5.1%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Reward std</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20.2</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5.1</w:t>
            </w:r>
          </w:p>
        </w:tc>
      </w:tr>
      <w:tr>
        <w:tc>
          <w:tcPr>
            <w:tcW w:type="dxa" w:w="2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MAE std</w:t>
            </w:r>
          </w:p>
        </w:tc>
        <w:tc>
          <w:tcPr>
            <w:tcW w:type="dxa" w:w="154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1932 Hz</w:t>
            </w:r>
          </w:p>
        </w:tc>
        <w:tc>
          <w:tcPr>
            <w:tcW w:type="dxa" w:w="154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518 Hz</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Primary failure mode</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Static lock</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Overshoot oscillation</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Gradient blindness</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Residual seed variance</w:t>
            </w:r>
          </w:p>
        </w:tc>
      </w:tr>
      <w:tr>
        <w:tc>
          <w:tcPr>
            <w:tcW w:type="dxa" w:w="2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Fix applied</w:t>
            </w:r>
          </w:p>
        </w:tc>
        <w:tc>
          <w:tcPr>
            <w:tcW w:type="dxa" w:w="154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More training + larger action</w:t>
            </w:r>
          </w:p>
        </w:tc>
        <w:tc>
          <w:tcPr>
            <w:tcW w:type="dxa" w:w="154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Tune action scale</w:t>
            </w:r>
          </w:p>
        </w:tc>
        <w:tc>
          <w:tcPr>
            <w:tcW w:type="dxa" w:w="154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Explicit gradient obs.</w:t>
            </w:r>
          </w:p>
        </w:tc>
        <w:tc>
          <w:tcPr>
            <w:tcW w:type="dxa" w:w="154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Deployable</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w:t>
            </w:r>
          </w:p>
        </w:tc>
      </w:tr>
    </w:tbl>
    <w:p>
      <w:pPr>
        <w:spacing w:before="80" w:after="80"/>
      </w:pPr>
      <w: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sz w:val="32"/>
          <w:szCs w:val="32"/>
        </w:rPr>
        <w:t xml:space="preserve">7. Which Model to Use and Why</w:t>
      </w:r>
    </w:p>
    <w:p>
      <w:pPr>
        <w:spacing w:before="80" w:after="80"/>
      </w:pPr>
      <w:r>
        <w:t xml:space="preserve"/>
      </w:r>
    </w:p>
    <w:p>
      <w:pPr>
        <w:pStyle w:val="Heading2"/>
        <w:spacing w:before="240" w:after="80"/>
      </w:pPr>
      <w:r>
        <w:rPr>
          <w:rFonts w:ascii="Arial" w:cs="Arial" w:eastAsia="Arial" w:hAnsi="Arial"/>
          <w:b/>
          <w:bCs/>
          <w:sz w:val="26"/>
          <w:szCs w:val="26"/>
        </w:rPr>
        <w:t xml:space="preserve">7.1 For the Paper</w:t>
      </w:r>
    </w:p>
    <w:p>
      <w:pPr>
        <w:spacing w:before="60" w:after="60"/>
      </w:pPr>
      <w:r>
        <w:rPr>
          <w:rFonts w:ascii="Arial" w:cs="Arial" w:eastAsia="Arial" w:hAnsi="Arial"/>
          <w:sz w:val="22"/>
          <w:szCs w:val="22"/>
        </w:rPr>
        <w:t xml:space="preserve">Report V3 as the simulation baseline and V4 aggregate (mean ± std across 5 seeds) as the contribution. The exact numbers to use are in Section 5.4. Do not re-derive or substitute estimates.</w:t>
      </w:r>
    </w:p>
    <w:p>
      <w:pPr>
        <w:spacing w:before="80" w:after="80"/>
      </w:pPr>
      <w:r>
        <w:t xml:space="preserve"/>
      </w:r>
    </w:p>
    <w:p>
      <w:pPr>
        <w:pStyle w:val="Heading2"/>
        <w:spacing w:before="240" w:after="80"/>
      </w:pPr>
      <w:r>
        <w:rPr>
          <w:rFonts w:ascii="Arial" w:cs="Arial" w:eastAsia="Arial" w:hAnsi="Arial"/>
          <w:b/>
          <w:bCs/>
          <w:sz w:val="26"/>
          <w:szCs w:val="26"/>
        </w:rPr>
        <w:t xml:space="preserve">7.2 For Hardware Deployment</w:t>
      </w:r>
    </w:p>
    <w:p>
      <w:pPr>
        <w:spacing w:before="60" w:after="60"/>
      </w:pPr>
      <w:r>
        <w:rPr>
          <w:rFonts w:ascii="Arial" w:cs="Arial" w:eastAsia="Arial" w:hAnsi="Arial"/>
          <w:sz w:val="22"/>
          <w:szCs w:val="22"/>
        </w:rPr>
        <w:t xml:space="preserve">Use V4 seed 3. It has the lowest MAE (1510 Hz), the tightest MAE standard deviation (367 Hz), the highest near-resonance time (94.8%), and the lowest low-amplitude tail (0.4%) of any trained model. It is the most reliable policy produced by this project. Load from: rl_training/trained_models/v4_gradient_obs/seed_3/best_model.zip</w:t>
      </w:r>
    </w:p>
    <w:p>
      <w:pPr>
        <w:spacing w:before="80" w:after="80"/>
      </w:pPr>
      <w:r>
        <w:t xml:space="preserve"/>
      </w:r>
    </w:p>
    <w:p>
      <w:pPr>
        <w:pStyle w:val="Heading2"/>
        <w:spacing w:before="240" w:after="80"/>
      </w:pPr>
      <w:r>
        <w:rPr>
          <w:rFonts w:ascii="Arial" w:cs="Arial" w:eastAsia="Arial" w:hAnsi="Arial"/>
          <w:b/>
          <w:bCs/>
          <w:sz w:val="26"/>
          <w:szCs w:val="26"/>
        </w:rPr>
        <w:t xml:space="preserve">7.3 For Mini Project Submission if Hardware Unavailable</w:t>
      </w:r>
    </w:p>
    <w:p>
      <w:pPr>
        <w:spacing w:before="60" w:after="60"/>
      </w:pPr>
      <w:r>
        <w:rPr>
          <w:rFonts w:ascii="Arial" w:cs="Arial" w:eastAsia="Arial" w:hAnsi="Arial"/>
          <w:sz w:val="22"/>
          <w:szCs w:val="22"/>
        </w:rPr>
        <w:t xml:space="preserve">V3 alone is sufficient for a passing submission. The V1→V2→V3 iteration demonstrates scientific methodology. V4 elevates the work to publication quality but is not required.</w:t>
      </w:r>
    </w:p>
    <w:p>
      <w:pPr>
        <w:spacing w:before="80" w:after="80"/>
      </w:pPr>
      <w: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sz w:val="32"/>
          <w:szCs w:val="32"/>
        </w:rPr>
        <w:t xml:space="preserve">8. Key Numbers Reference (Do Not Re-derive)</w:t>
      </w:r>
    </w:p>
    <w:p>
      <w:pPr>
        <w:spacing w:before="80" w:after="80"/>
      </w:pPr>
      <w:r>
        <w:t xml:space="preserve"/>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500"/>
        <w:gridCol w:w="1300"/>
        <w:gridCol w:w="1300"/>
        <w:gridCol w:w="1760"/>
      </w:tblGrid>
      <w:t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Reward</w:t>
            </w:r>
          </w:p>
        </w:tc>
        <w:tc>
          <w:tcPr>
            <w:tcW w:type="dxa" w:w="1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Amp &gt;0.90</w:t>
            </w:r>
          </w:p>
        </w:tc>
        <w:tc>
          <w:tcPr>
            <w:tcW w:type="dxa" w:w="1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Amp &lt;0.70</w:t>
            </w:r>
          </w:p>
        </w:tc>
        <w:tc>
          <w:tcPr>
            <w:tcW w:type="dxa" w:w="1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Evaluation Protocol</w:t>
            </w:r>
          </w:p>
        </w:tc>
      </w:tr>
      <w:tr>
        <w:tc>
          <w:tcPr>
            <w:tcW w:type="dxa" w:w="1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V3</w:t>
            </w:r>
          </w:p>
        </w:tc>
        <w:tc>
          <w:tcPr>
            <w:tcW w:type="dxa" w:w="16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3333 ± 1932 Hz</w:t>
            </w:r>
          </w:p>
        </w:tc>
        <w:tc>
          <w:tcPr>
            <w:tcW w:type="dxa" w:w="1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174.3 ± 20.2</w:t>
            </w:r>
          </w:p>
        </w:tc>
        <w:tc>
          <w:tcPr>
            <w:tcW w:type="dxa" w:w="13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64.5%</w:t>
            </w:r>
          </w:p>
        </w:tc>
        <w:tc>
          <w:tcPr>
            <w:tcW w:type="dxa" w:w="13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13.4%</w:t>
            </w:r>
          </w:p>
        </w:tc>
        <w:tc>
          <w:tcPr>
            <w:tcW w:type="dxa" w:w="1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100 episodes, 1 run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V4 Seed 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2288 ± 1702 Hz</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184.5 ± 17.3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85.0%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5.8%</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1000 episodes</w:t>
            </w:r>
          </w:p>
        </w:tc>
      </w:tr>
      <w:tr>
        <w:tc>
          <w:tcPr>
            <w:tcW w:type="dxa" w:w="1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V4 Seed 1</w:t>
            </w:r>
          </w:p>
        </w:tc>
        <w:tc>
          <w:tcPr>
            <w:tcW w:type="dxa" w:w="16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1731 ± 780 Hz</w:t>
            </w:r>
          </w:p>
        </w:tc>
        <w:tc>
          <w:tcPr>
            <w:tcW w:type="dxa" w:w="1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190.2 ± 7.0</w:t>
            </w:r>
          </w:p>
        </w:tc>
        <w:tc>
          <w:tcPr>
            <w:tcW w:type="dxa" w:w="13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91.2%</w:t>
            </w:r>
          </w:p>
        </w:tc>
        <w:tc>
          <w:tcPr>
            <w:tcW w:type="dxa" w:w="13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1.3%</w:t>
            </w:r>
          </w:p>
        </w:tc>
        <w:tc>
          <w:tcPr>
            <w:tcW w:type="dxa" w:w="1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1000 episodes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V4 Seed 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2608 ± 2010 Hz</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181.4 ± 20.3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78.9%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8.2%</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1000 episodes</w:t>
            </w:r>
          </w:p>
        </w:tc>
      </w:tr>
      <w:tr>
        <w:tc>
          <w:tcPr>
            <w:tcW w:type="dxa" w:w="1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V4 Seed 3</w:t>
            </w:r>
          </w:p>
        </w:tc>
        <w:tc>
          <w:tcPr>
            <w:tcW w:type="dxa" w:w="16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1510 ± 367 Hz</w:t>
            </w:r>
          </w:p>
        </w:tc>
        <w:tc>
          <w:tcPr>
            <w:tcW w:type="dxa" w:w="1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192.5 ± 2.7</w:t>
            </w:r>
          </w:p>
        </w:tc>
        <w:tc>
          <w:tcPr>
            <w:tcW w:type="dxa" w:w="13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94.8%</w:t>
            </w:r>
          </w:p>
        </w:tc>
        <w:tc>
          <w:tcPr>
            <w:tcW w:type="dxa" w:w="13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0.4%</w:t>
            </w:r>
          </w:p>
        </w:tc>
        <w:tc>
          <w:tcPr>
            <w:tcW w:type="dxa" w:w="1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1000 episodes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V4 Seed 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2887 ± 1844 Hz</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178.9 ± 18.7</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74.3%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9.8%</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1000 episodes</w:t>
            </w:r>
          </w:p>
        </w:tc>
      </w:tr>
      <w:tr>
        <w:tc>
          <w:tcPr>
            <w:tcW w:type="dxa" w:w="1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V4 Aggregate</w:t>
            </w:r>
          </w:p>
        </w:tc>
        <w:tc>
          <w:tcPr>
            <w:tcW w:type="dxa" w:w="16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2205 ± 518 Hz</w:t>
            </w:r>
          </w:p>
        </w:tc>
        <w:tc>
          <w:tcPr>
            <w:tcW w:type="dxa" w:w="1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185.5 ± 5.1</w:t>
            </w:r>
          </w:p>
        </w:tc>
        <w:tc>
          <w:tcPr>
            <w:tcW w:type="dxa" w:w="13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84.8% ± 7.6%</w:t>
            </w:r>
          </w:p>
        </w:tc>
        <w:tc>
          <w:tcPr>
            <w:tcW w:type="dxa" w:w="13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5.1% ± 3.7%</w:t>
            </w:r>
          </w:p>
        </w:tc>
        <w:tc>
          <w:tcPr>
            <w:tcW w:type="dxa" w:w="1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pPr>
              <w:jc w:val="center"/>
            </w:pPr>
            <w:r>
              <w:rPr>
                <w:rFonts w:ascii="Arial" w:cs="Arial" w:eastAsia="Arial" w:hAnsi="Arial"/>
                <w:sz w:val="20"/>
                <w:szCs w:val="20"/>
              </w:rPr>
              <w:t xml:space="preserve">5 seeds × 1000 eps</w:t>
            </w:r>
          </w:p>
        </w:tc>
      </w:tr>
    </w:tbl>
    <w:p>
      <w:pPr>
        <w:spacing w:before="80"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2026-03-19T07:58:16.550Z</dcterms:created>
  <dcterms:modified xsi:type="dcterms:W3CDTF">2026-03-19T07:58:16.551Z</dcterms:modified>
</cp:coreProperties>
</file>

<file path=docProps/custom.xml><?xml version="1.0" encoding="utf-8"?>
<Properties xmlns="http://schemas.openxmlformats.org/officeDocument/2006/custom-properties" xmlns:vt="http://schemas.openxmlformats.org/officeDocument/2006/docPropsVTypes"/>
</file>