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276"/>
        <w:jc w:val="center"/>
      </w:pPr>
      <w:r>
        <w:rPr>
          <w:rFonts w:ascii="Times New Roman" w:cs="Times New Roman" w:eastAsia="Times New Roman" w:hAnsi="Times New Roman"/>
          <w:b/>
          <w:bCs/>
          <w:i w:val="false"/>
          <w:iCs w:val="false"/>
          <w:sz w:val="26"/>
          <w:szCs w:val="26"/>
        </w:rPr>
        <w:t xml:space="preserve">VISVESVARAYA TECHNOLOGICAL UNIVERSITY</w:t>
      </w:r>
    </w:p>
    <w:p>
      <w:pPr>
        <w:spacing w:after="120" w:before="80" w:line="276"/>
        <w:jc w:val="center"/>
      </w:pPr>
      <w:r>
        <w:rPr>
          <w:rFonts w:ascii="Times New Roman" w:cs="Times New Roman" w:eastAsia="Times New Roman" w:hAnsi="Times New Roman"/>
          <w:b w:val="false"/>
          <w:bCs w:val="false"/>
          <w:i w:val="false"/>
          <w:iCs w:val="false"/>
          <w:sz w:val="22"/>
          <w:szCs w:val="22"/>
        </w:rPr>
        <w:t xml:space="preserve">"Jnana Sangama", Belagavi-18, Karnataka, India.</w:t>
      </w:r>
    </w:p>
    <w:p>
      <w:pPr>
        <w:spacing w:after="100" w:before="600"/>
      </w:pPr>
    </w:p>
    <w:p>
      <w:pPr>
        <w:spacing w:after="120" w:before="80" w:line="276"/>
        <w:jc w:val="center"/>
      </w:pPr>
      <w:r>
        <w:rPr>
          <w:rFonts w:ascii="Times New Roman" w:cs="Times New Roman" w:eastAsia="Times New Roman" w:hAnsi="Times New Roman"/>
          <w:b w:val="false"/>
          <w:bCs w:val="false"/>
          <w:i/>
          <w:iCs/>
          <w:sz w:val="22"/>
          <w:szCs w:val="22"/>
        </w:rPr>
        <w:t xml:space="preserve">Synopsis on</w:t>
      </w:r>
    </w:p>
    <w:p>
      <w:pPr>
        <w:spacing w:after="120" w:before="120"/>
      </w:pPr>
    </w:p>
    <w:p>
      <w:pPr>
        <w:spacing w:after="120" w:before="80" w:line="276"/>
        <w:jc w:val="center"/>
      </w:pPr>
      <w:r>
        <w:rPr>
          <w:rFonts w:ascii="Times New Roman" w:cs="Times New Roman" w:eastAsia="Times New Roman" w:hAnsi="Times New Roman"/>
          <w:b/>
          <w:bCs/>
          <w:i w:val="false"/>
          <w:iCs w:val="false"/>
          <w:color w:val="2E74B5"/>
          <w:sz w:val="28"/>
          <w:szCs w:val="28"/>
        </w:rPr>
        <w:t xml:space="preserve">"Autonomous Reinforcement Learning for Adaptive Resonator Calibration:</w:t>
      </w:r>
    </w:p>
    <w:p>
      <w:pPr>
        <w:spacing w:after="120" w:before="80" w:line="276"/>
        <w:jc w:val="center"/>
      </w:pPr>
      <w:r>
        <w:rPr>
          <w:rFonts w:ascii="Times New Roman" w:cs="Times New Roman" w:eastAsia="Times New Roman" w:hAnsi="Times New Roman"/>
          <w:b/>
          <w:bCs/>
          <w:i w:val="false"/>
          <w:iCs w:val="false"/>
          <w:color w:val="2E74B5"/>
          <w:sz w:val="28"/>
          <w:szCs w:val="28"/>
        </w:rPr>
        <w:t xml:space="preserve">A Classical Analogue for Quantum Control Systems"</w:t>
      </w:r>
    </w:p>
    <w:p>
      <w:pPr>
        <w:spacing w:after="0" w:before="120"/>
      </w:pPr>
    </w:p>
    <w:p>
      <w:pPr>
        <w:spacing w:after="120" w:before="80" w:line="276"/>
        <w:jc w:val="center"/>
      </w:pPr>
      <w:r>
        <w:rPr>
          <w:rFonts w:ascii="Times New Roman" w:cs="Times New Roman" w:eastAsia="Times New Roman" w:hAnsi="Times New Roman"/>
          <w:b w:val="false"/>
          <w:bCs w:val="false"/>
          <w:i/>
          <w:iCs/>
          <w:sz w:val="22"/>
          <w:szCs w:val="22"/>
        </w:rPr>
        <w:t xml:space="preserve">Mini-Project Submitted in partial fulfilment of the requirement for the degree of</w:t>
      </w:r>
    </w:p>
    <w:p>
      <w:pPr>
        <w:spacing w:after="120" w:before="80" w:line="276"/>
        <w:jc w:val="center"/>
      </w:pPr>
      <w:r>
        <w:rPr>
          <w:rFonts w:ascii="Times New Roman" w:cs="Times New Roman" w:eastAsia="Times New Roman" w:hAnsi="Times New Roman"/>
          <w:b/>
          <w:bCs/>
          <w:i w:val="false"/>
          <w:iCs w:val="false"/>
          <w:color w:val="2E74B5"/>
          <w:sz w:val="24"/>
          <w:szCs w:val="24"/>
        </w:rPr>
        <w:t xml:space="preserve">Bachelor of Engineering</w:t>
      </w:r>
    </w:p>
    <w:p>
      <w:pPr>
        <w:spacing w:after="120" w:before="80" w:line="276"/>
        <w:jc w:val="center"/>
      </w:pPr>
      <w:r>
        <w:rPr>
          <w:rFonts w:ascii="Times New Roman" w:cs="Times New Roman" w:eastAsia="Times New Roman" w:hAnsi="Times New Roman"/>
          <w:b w:val="false"/>
          <w:bCs w:val="false"/>
          <w:i/>
          <w:iCs/>
          <w:sz w:val="22"/>
          <w:szCs w:val="22"/>
        </w:rPr>
        <w:t xml:space="preserve">In</w:t>
      </w:r>
    </w:p>
    <w:p>
      <w:pPr>
        <w:spacing w:after="120" w:before="80" w:line="276"/>
        <w:jc w:val="center"/>
      </w:pPr>
      <w:r>
        <w:rPr>
          <w:rFonts w:ascii="Times New Roman" w:cs="Times New Roman" w:eastAsia="Times New Roman" w:hAnsi="Times New Roman"/>
          <w:b/>
          <w:bCs/>
          <w:i w:val="false"/>
          <w:iCs w:val="false"/>
          <w:color w:val="2E74B5"/>
          <w:sz w:val="24"/>
          <w:szCs w:val="24"/>
        </w:rPr>
        <w:t xml:space="preserve">Electronics and Telecommunication Engineering</w:t>
      </w:r>
    </w:p>
    <w:p>
      <w:pPr>
        <w:spacing w:after="120" w:before="120" w:line="276"/>
        <w:jc w:val="center"/>
      </w:pPr>
      <w:r>
        <w:rPr>
          <w:rFonts w:ascii="Times New Roman" w:cs="Times New Roman" w:eastAsia="Times New Roman" w:hAnsi="Times New Roman"/>
          <w:b w:val="false"/>
          <w:bCs w:val="false"/>
          <w:i/>
          <w:iCs/>
          <w:sz w:val="22"/>
          <w:szCs w:val="22"/>
        </w:rPr>
        <w:t xml:space="preserve">By</w:t>
      </w:r>
    </w:p>
    <w:p>
      <w:pPr>
        <w:spacing w:after="120" w:before="120"/>
        <w:jc w:val="center"/>
      </w:pPr>
      <w:r>
        <w:rPr>
          <w:rFonts w:ascii="Times New Roman" w:cs="Times New Roman" w:eastAsia="Times New Roman" w:hAnsi="Times New Roman"/>
          <w:b/>
          <w:bCs/>
          <w:sz w:val="22"/>
          <w:szCs w:val="22"/>
        </w:rPr>
        <w:t xml:space="preserve">Aadidev Raja K</w:t>
      </w:r>
      <w:r>
        <w:rPr>
          <w:rFonts w:ascii="Times New Roman" w:cs="Times New Roman" w:eastAsia="Times New Roman" w:hAnsi="Times New Roman"/>
          <w:sz w:val="22"/>
          <w:szCs w:val="22"/>
        </w:rPr>
        <w:t xml:space="preserve">          1DS24ET001</w:t>
      </w:r>
    </w:p>
    <w:p>
      <w:pPr>
        <w:spacing w:after="40" w:before="40"/>
        <w:jc w:val="center"/>
      </w:pPr>
      <w:r>
        <w:rPr>
          <w:rFonts w:ascii="Times New Roman" w:cs="Times New Roman" w:eastAsia="Times New Roman" w:hAnsi="Times New Roman"/>
          <w:b/>
          <w:bCs/>
          <w:sz w:val="22"/>
          <w:szCs w:val="22"/>
        </w:rPr>
        <w:t xml:space="preserve">Adithi H P</w:t>
      </w:r>
      <w:r>
        <w:rPr>
          <w:rFonts w:ascii="Times New Roman" w:cs="Times New Roman" w:eastAsia="Times New Roman" w:hAnsi="Times New Roman"/>
          <w:sz w:val="22"/>
          <w:szCs w:val="22"/>
        </w:rPr>
        <w:t xml:space="preserve">              1DS24ET008</w:t>
      </w:r>
    </w:p>
    <w:p>
      <w:pPr>
        <w:spacing w:after="40" w:before="40"/>
        <w:jc w:val="center"/>
      </w:pPr>
      <w:r>
        <w:rPr>
          <w:rFonts w:ascii="Times New Roman" w:cs="Times New Roman" w:eastAsia="Times New Roman" w:hAnsi="Times New Roman"/>
          <w:b/>
          <w:bCs/>
          <w:sz w:val="22"/>
          <w:szCs w:val="22"/>
        </w:rPr>
        <w:t xml:space="preserve">Akash Kishore</w:t>
      </w:r>
      <w:r>
        <w:rPr>
          <w:rFonts w:ascii="Times New Roman" w:cs="Times New Roman" w:eastAsia="Times New Roman" w:hAnsi="Times New Roman"/>
          <w:sz w:val="22"/>
          <w:szCs w:val="22"/>
        </w:rPr>
        <w:t xml:space="preserve">           1DS24ET012</w:t>
      </w:r>
    </w:p>
    <w:p>
      <w:pPr>
        <w:spacing w:after="80" w:before="40"/>
        <w:jc w:val="center"/>
      </w:pPr>
      <w:r>
        <w:rPr>
          <w:rFonts w:ascii="Times New Roman" w:cs="Times New Roman" w:eastAsia="Times New Roman" w:hAnsi="Times New Roman"/>
          <w:b/>
          <w:bCs/>
          <w:sz w:val="22"/>
          <w:szCs w:val="22"/>
        </w:rPr>
        <w:t xml:space="preserve">Khushi Patil</w:t>
      </w:r>
      <w:r>
        <w:rPr>
          <w:rFonts w:ascii="Times New Roman" w:cs="Times New Roman" w:eastAsia="Times New Roman" w:hAnsi="Times New Roman"/>
          <w:sz w:val="22"/>
          <w:szCs w:val="22"/>
        </w:rPr>
        <w:t xml:space="preserve">               1DS24ET050</w:t>
      </w:r>
    </w:p>
    <w:p>
      <w:pPr>
        <w:spacing w:after="120" w:before="80" w:line="276"/>
        <w:jc w:val="center"/>
      </w:pPr>
      <w:r>
        <w:rPr>
          <w:rFonts w:ascii="Times New Roman" w:cs="Times New Roman" w:eastAsia="Times New Roman" w:hAnsi="Times New Roman"/>
          <w:b w:val="false"/>
          <w:bCs w:val="false"/>
          <w:i w:val="false"/>
          <w:iCs w:val="false"/>
          <w:sz w:val="22"/>
          <w:szCs w:val="22"/>
        </w:rPr>
        <w:t xml:space="preserve">4th Sem B.E</w:t>
      </w:r>
    </w:p>
    <w:p>
      <w:pPr>
        <w:spacing w:after="120" w:before="80" w:line="276"/>
        <w:jc w:val="center"/>
      </w:pPr>
      <w:r>
        <w:rPr>
          <w:rFonts w:ascii="Times New Roman" w:cs="Times New Roman" w:eastAsia="Times New Roman" w:hAnsi="Times New Roman"/>
          <w:b w:val="false"/>
          <w:bCs w:val="false"/>
          <w:i/>
          <w:iCs/>
          <w:sz w:val="22"/>
          <w:szCs w:val="22"/>
        </w:rPr>
        <w:t xml:space="preserve">Under the guidance of</w:t>
      </w:r>
    </w:p>
    <w:p>
      <w:pPr>
        <w:spacing w:after="120" w:before="80" w:line="276"/>
        <w:jc w:val="center"/>
      </w:pPr>
      <w:r>
        <w:rPr>
          <w:rFonts w:ascii="Times New Roman" w:cs="Times New Roman" w:eastAsia="Times New Roman" w:hAnsi="Times New Roman"/>
          <w:b/>
          <w:bCs/>
          <w:i w:val="false"/>
          <w:iCs w:val="false"/>
          <w:sz w:val="22"/>
          <w:szCs w:val="22"/>
        </w:rPr>
        <w:t xml:space="preserve">Dr. Jugul Kishore</w:t>
      </w:r>
    </w:p>
    <w:p>
      <w:pPr>
        <w:spacing w:after="200" w:before="200"/>
      </w:pPr>
    </w:p>
    <w:p>
      <w:pPr>
        <w:spacing w:after="120" w:before="80" w:line="276"/>
        <w:jc w:val="center"/>
      </w:pPr>
      <w:r>
        <w:rPr>
          <w:rFonts w:ascii="Times New Roman" w:cs="Times New Roman" w:eastAsia="Times New Roman" w:hAnsi="Times New Roman"/>
          <w:b/>
          <w:bCs/>
          <w:i w:val="false"/>
          <w:iCs w:val="false"/>
          <w:color w:val="2E74B5"/>
          <w:sz w:val="24"/>
          <w:szCs w:val="24"/>
        </w:rPr>
        <w:t xml:space="preserve">Department of Electronics and Telecommunication Engineering</w:t>
      </w:r>
    </w:p>
    <w:p>
      <w:pPr>
        <w:spacing w:after="120" w:before="80" w:line="276"/>
        <w:jc w:val="center"/>
      </w:pPr>
      <w:r>
        <w:rPr>
          <w:rFonts w:ascii="Times New Roman" w:cs="Times New Roman" w:eastAsia="Times New Roman" w:hAnsi="Times New Roman"/>
          <w:b/>
          <w:bCs/>
          <w:i w:val="false"/>
          <w:iCs w:val="false"/>
          <w:color w:val="2E74B5"/>
          <w:sz w:val="24"/>
          <w:szCs w:val="24"/>
        </w:rPr>
        <w:t xml:space="preserve">DAYANANDA SAGAR COLLEGE OF ENGINEERING</w:t>
      </w:r>
    </w:p>
    <w:p>
      <w:pPr>
        <w:spacing w:after="120" w:before="80" w:line="276"/>
        <w:jc w:val="center"/>
      </w:pPr>
      <w:r>
        <w:rPr>
          <w:rFonts w:ascii="Times New Roman" w:cs="Times New Roman" w:eastAsia="Times New Roman" w:hAnsi="Times New Roman"/>
          <w:b/>
          <w:bCs/>
          <w:i w:val="false"/>
          <w:iCs w:val="false"/>
          <w:color w:val="2E74B5"/>
          <w:sz w:val="22"/>
          <w:szCs w:val="22"/>
        </w:rPr>
        <w:t xml:space="preserve">BENGALURU - 560078</w:t>
      </w:r>
    </w:p>
    <w:p>
      <w:pPr>
        <w:spacing w:after="120" w:before="80" w:line="276"/>
        <w:jc w:val="center"/>
      </w:pPr>
      <w:r>
        <w:rPr>
          <w:rFonts w:ascii="Times New Roman" w:cs="Times New Roman" w:eastAsia="Times New Roman" w:hAnsi="Times New Roman"/>
          <w:b/>
          <w:bCs/>
          <w:i w:val="false"/>
          <w:iCs w:val="false"/>
          <w:sz w:val="26"/>
          <w:szCs w:val="26"/>
        </w:rPr>
        <w:t xml:space="preserve">2025-26</w:t>
      </w:r>
    </w:p>
    <w:p>
      <w:r>
        <w:br w:type="page"/>
      </w:r>
    </w:p>
    <w:p>
      <w:pPr>
        <w:pStyle w:val="Heading1"/>
        <w:spacing w:after="100" w:before="100"/>
      </w:pPr>
      <w:r>
        <w:rPr>
          <w:rFonts w:ascii="Times New Roman" w:cs="Times New Roman" w:eastAsia="Times New Roman" w:hAnsi="Times New Roman"/>
          <w:b/>
          <w:bCs/>
          <w:color w:val="2E74B5"/>
          <w:sz w:val="26"/>
          <w:szCs w:val="26"/>
        </w:rPr>
        <w:t xml:space="preserve">ACKNOWLEDGEMENT</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satisfaction accompanying the successful completion of any task would be incomplete without acknowledging the people who made it possible. We sincerely thank the Management of Dayananda Sagar College of Engineering, Bengaluru.</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express our sincere regards to Dr. B G Prasad, Principal, Dayananda Sagar College of Engineering, Bengaluru. His encouragement and support were invaluable throughout this project.</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express our sincere gratitude to our Project Guide, Dr. Jugul Kishor, Professor and Head, Department of Electronics and Telecommunication Engineering, Dayananda Sagar College of Engineering, Bengaluru. His sustained guidance gave us the environment to develop our knowledge and skills.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also thank the Project Coordinators of the Department of Electronics and Telecommunication Engineering for their continued support, as well as all teaching and non-teaching staff of the department.</w:t>
      </w:r>
    </w:p>
    <w:p>
      <w:r>
        <w:br w:type="page"/>
      </w:r>
    </w:p>
    <w:p>
      <w:pPr>
        <w:pStyle w:val="Heading1"/>
        <w:spacing w:after="100" w:before="200"/>
      </w:pPr>
      <w:r>
        <w:rPr>
          <w:rFonts w:ascii="Times New Roman" w:cs="Times New Roman" w:eastAsia="Times New Roman" w:hAnsi="Times New Roman"/>
          <w:b/>
          <w:bCs/>
          <w:color w:val="2E74B5"/>
          <w:sz w:val="26"/>
          <w:szCs w:val="26"/>
        </w:rPr>
        <w:t xml:space="preserve">I. Abstract</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Autonomous frequency calibration of resonant systems sits at the unglamorous centre of quantum computing infrastructure. Microwave control pulses must continuously chase drifting qubit transition frequencies through stochastic noise, and the margin for error is kilohertz-thin. Classical feedback controllers fail here for a structural reason rather than a tuning one: the Lorentzian amplitude response is symmetric about the peak, so amplitude alone cannot tell a controller whether the probe frequency is drifting above or below resonance. This paper introduces a gradient-augmented observation space for Proximal Policy Optimisation (PPO)-based resonator tracking. The added term, a normalised amplitude gradient computed as Δamp divided by the magnitude of the previous frequency step, gives the agent explicit directional information that it would otherwise have to infer from temporal context. Using a classical LC resonator with varactor-based frequency drift as a stand-in for superconducting qubit detuning, we tested four observation-space variants across two noise regimes (Gaussian random walk and Ornstein-Uhlenbeck) with five independent seeds and Mann-Whitney statistical validation.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proposed V4 agent reaches a mean absolute frequency error of 1510 ± 367 Hz and stays within the near-resonance band 94.8% of the time under Gaussian drift, compared to 3333 ± 1932 Hz / 64.5% for the gradient-free V3 baseline (Mann-Whitney p &lt; 0.001) and 3600 ± 5241 Hz / 83.1% for a classical PID controller whose tenfold-higher standard deviation is the signature of episodic rather than systematic failure. Under Ornstein-Uhlenbeck drift the gradient term contributes nothing measurable (p = 1.000), which the system mechanics explain: OU's mean-reverting pull limits how far the resonant frequency can stray, so the directional ambiguity does not arise often enough to affect results. As a preliminary deployment test, we transferred the trained agent to a Qiskit Aer quantum circuit simulator, traced the performance gap to binomial shot noise and normalisation mismatch, and partially recovered performance through Quantum-Aware Continued Training (QACT). Gradient augmentation is a structurally justified observation design choice, validated statistically, with direct application to autonomous quantum hardware calibration.</w:t>
      </w:r>
    </w:p>
    <w:p>
      <w:pPr>
        <w:spacing w:after="120" w:before="80" w:line="276"/>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b w:val="false"/>
          <w:bCs w:val="false"/>
          <w:i/>
          <w:iCs/>
          <w:sz w:val="22"/>
          <w:szCs w:val="22"/>
        </w:rPr>
        <w:t xml:space="preserve">Reinforcement Learning, Proximal Policy Optimisation, LC Resonator, Frequency Tracking, Quantum Hardware Calibration, Observation Space Design, Ornstein-Uhlenbeck Process, Statistical Testing, Qiskit Aer</w:t>
      </w:r>
    </w:p>
    <w:p>
      <w:r>
        <w:br w:type="page"/>
      </w:r>
    </w:p>
    <w:p>
      <w:pPr>
        <w:pStyle w:val="Heading1"/>
        <w:spacing w:after="100" w:before="200"/>
      </w:pPr>
      <w:r>
        <w:rPr>
          <w:rFonts w:ascii="Times New Roman" w:cs="Times New Roman" w:eastAsia="Times New Roman" w:hAnsi="Times New Roman"/>
          <w:b/>
          <w:bCs/>
          <w:color w:val="2E74B5"/>
          <w:sz w:val="26"/>
          <w:szCs w:val="26"/>
        </w:rPr>
        <w:t xml:space="preserve">II. Introduction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Superconducting transmon qubit processors are, at bottom, very fussy radio receivers. The resonant transition frequency of each qubit drifts at rates typically in the kilohertz-per-second range, driven by flux noise, charge noise, thermal fluctuations, and material aging. At the scale of modern processors, which span hundreds to thousands of qubits, manually recalibrating these frequencies through brute-force spectroscopic sweeps is computationally intractable. Autonomous, closed-loop tracking is a prerequisite for sustained coherent operation.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calibration task reduces to resonance tracking under partial observability. The control system receives only the scalar amplitude output of the resonator; the actual resonant frequency is never directly readable. This matters because the Lorentzian amplitude profile is symmetric. Any amplitude value below the peak is consistent with two probe positions, one on each flank. A classical PID controller, which generates a corrective signal from amplitude error alone, cannot resolve this ambiguity. When drift carries the probe past the peak and the controller keeps pushing in the wrong direction, the result is hard, episodic failure rather than gradual degradation.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Reinforcement learning is a natural candidate for this setting: an RL policy can exploit the temporal structure of sequential (action, observation) pairs to infer directional information that is absent from any single measurement. Prior work has demonstrated RL-based calibration on real superconducting hardware and in simulation [1]-[3]. The literature lacks, however, a systematic dissection of which observation components actually drive performance. None of the existing studies includes an observation-space ablation, multi-seed evaluation, or classical feedback baseline that would make the RL advantage concrete.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This paper addresses that gap. The specific contributions are:</w:t>
      </w:r>
    </w:p>
    <w:p>
      <w:pPr>
        <w:pStyle w:val="ListParagraph"/>
        <w:numPr>
          <w:ilvl w:val="0"/>
          <w:numId w:val="2"/>
        </w:numPr>
        <w:spacing w:after="60" w:before="60" w:line="276"/>
      </w:pPr>
      <w:r>
        <w:rPr>
          <w:rFonts w:ascii="Times New Roman" w:cs="Times New Roman" w:eastAsia="Times New Roman" w:hAnsi="Times New Roman"/>
          <w:sz w:val="22"/>
          <w:szCs w:val="22"/>
        </w:rPr>
        <w:t xml:space="preserve">A gradient-augmented observation vector that resolves the left-right directional ambiguity by giving the agent a normalised local slope of the amplitude-vs-frequency curve.</w:t>
      </w:r>
    </w:p>
    <w:p>
      <w:pPr>
        <w:pStyle w:val="ListParagraph"/>
        <w:numPr>
          <w:ilvl w:val="0"/>
          <w:numId w:val="2"/>
        </w:numPr>
        <w:spacing w:after="60" w:before="60" w:line="276"/>
      </w:pPr>
      <w:r>
        <w:rPr>
          <w:rFonts w:ascii="Times New Roman" w:cs="Times New Roman" w:eastAsia="Times New Roman" w:hAnsi="Times New Roman"/>
          <w:sz w:val="22"/>
          <w:szCs w:val="22"/>
        </w:rPr>
        <w:t xml:space="preserve">A single-variable ablation (V3 vs. V4) across five seeds and two noise regimes, with Mann-Whitney U significance testing.</w:t>
      </w:r>
    </w:p>
    <w:p>
      <w:pPr>
        <w:pStyle w:val="ListParagraph"/>
        <w:numPr>
          <w:ilvl w:val="0"/>
          <w:numId w:val="2"/>
        </w:numPr>
        <w:spacing w:after="60" w:before="60" w:line="276"/>
      </w:pPr>
      <w:r>
        <w:rPr>
          <w:rFonts w:ascii="Times New Roman" w:cs="Times New Roman" w:eastAsia="Times New Roman" w:hAnsi="Times New Roman"/>
          <w:sz w:val="22"/>
          <w:szCs w:val="22"/>
        </w:rPr>
        <w:t xml:space="preserve">A PID baseline that quantifies the structural ceiling of amplitude-only feedback directly, rather than implying it.</w:t>
      </w:r>
    </w:p>
    <w:p>
      <w:pPr>
        <w:pStyle w:val="ListParagraph"/>
        <w:numPr>
          <w:ilvl w:val="0"/>
          <w:numId w:val="2"/>
        </w:numPr>
        <w:spacing w:after="60" w:before="60" w:line="276"/>
      </w:pPr>
      <w:r>
        <w:rPr>
          <w:rFonts w:ascii="Times New Roman" w:cs="Times New Roman" w:eastAsia="Times New Roman" w:hAnsi="Times New Roman"/>
          <w:sz w:val="22"/>
          <w:szCs w:val="22"/>
        </w:rPr>
        <w:t xml:space="preserve">A preliminary sim-to-quantum transfer study using Qiskit Aer that identifies specific failure modes and measures partial recovery through QACT.</w:t>
      </w:r>
    </w:p>
    <w:p>
      <w:r>
        <w:br w:type="page"/>
      </w:r>
    </w:p>
    <w:p>
      <w:pPr>
        <w:pStyle w:val="Heading1"/>
        <w:spacing w:after="100" w:before="200"/>
      </w:pPr>
      <w:r>
        <w:rPr>
          <w:rFonts w:ascii="Times New Roman" w:cs="Times New Roman" w:eastAsia="Times New Roman" w:hAnsi="Times New Roman"/>
          <w:b/>
          <w:bCs/>
          <w:color w:val="2E74B5"/>
          <w:sz w:val="26"/>
          <w:szCs w:val="26"/>
        </w:rPr>
        <w:t xml:space="preserve">III. Literature Survey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00"/>
        <w:gridCol w:w="2100"/>
        <w:gridCol w:w="4400"/>
      </w:tblGrid>
      <w:tr>
        <w:tc>
          <w:tcPr>
            <w:tcW w:type="dxa" w:w="6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Sl.No</w:t>
            </w:r>
          </w:p>
        </w:tc>
        <w:tc>
          <w:tcPr>
            <w:tcW w:type="dxa" w:w="2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Author(s)</w:t>
            </w:r>
          </w:p>
        </w:tc>
        <w:tc>
          <w:tcPr>
            <w:tcW w:type="dxa" w:w="7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Year</w:t>
            </w:r>
          </w:p>
        </w:tc>
        <w:tc>
          <w:tcPr>
            <w:tcW w:type="dxa" w:w="21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Title</w:t>
            </w:r>
          </w:p>
        </w:tc>
        <w:tc>
          <w:tcPr>
            <w:tcW w:type="dxa" w:w="4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Contribution to Project</w:t>
            </w:r>
          </w:p>
        </w:tc>
      </w:tr>
      <w:tr>
        <w:tc>
          <w:tcPr>
            <w:tcW w:type="dxa" w:w="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Pozar, D. M.</w:t>
            </w:r>
          </w:p>
        </w:tc>
        <w:tc>
          <w:tcPr>
            <w:tcW w:type="dxa" w:w="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2011</w:t>
            </w:r>
          </w:p>
        </w:tc>
        <w:tc>
          <w:tcPr>
            <w:tcW w:type="dxa" w:w="2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Microwave Engineering (4th ed.)</w:t>
            </w:r>
          </w:p>
        </w:tc>
        <w:tc>
          <w:tcPr>
            <w:tcW w:type="dxa" w:w="4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Provides the theoretical foundation for LC resonator behaviour, frequency drift characterisation, and varactor-based tuning used in the physical layer of this project.</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Kelly, J. et al.</w:t>
            </w:r>
          </w:p>
        </w:tc>
        <w:tc>
          <w:tcPr>
            <w:tcW w:type="dxa" w:w="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2014</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Optimal Quantum Control using Randomized Benchmarking</w:t>
            </w:r>
          </w:p>
        </w:tc>
        <w:tc>
          <w:tcPr>
            <w:tcW w:type="dxa" w:w="4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Establishes the motivation for autonomous calibration by demonstrating how pulse parameter deviations degrade performance in resonant quantum systems.</w:t>
            </w:r>
          </w:p>
        </w:tc>
      </w:tr>
      <w:tr>
        <w:tc>
          <w:tcPr>
            <w:tcW w:type="dxa" w:w="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Mnih, V. et al.</w:t>
            </w:r>
          </w:p>
        </w:tc>
        <w:tc>
          <w:tcPr>
            <w:tcW w:type="dxa" w:w="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2015</w:t>
            </w:r>
          </w:p>
        </w:tc>
        <w:tc>
          <w:tcPr>
            <w:tcW w:type="dxa" w:w="2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Human-level Control through Deep Reinforcement Learning</w:t>
            </w:r>
          </w:p>
        </w:tc>
        <w:tc>
          <w:tcPr>
            <w:tcW w:type="dxa" w:w="4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Validates the use of RL agents for learning optimal actions in noisy, dynamic environments, supporting the choice of RL as the optimisation strategy.</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Schulman, J. et al.</w:t>
            </w:r>
          </w:p>
        </w:tc>
        <w:tc>
          <w:tcPr>
            <w:tcW w:type="dxa" w:w="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2017</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Proximal Policy Optimization Algorithms</w:t>
            </w:r>
          </w:p>
        </w:tc>
        <w:tc>
          <w:tcPr>
            <w:tcW w:type="dxa" w:w="4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PPO is the core RL algorithm used in the intelligence layer of this project; this paper justifies its selection for noisy continuous action spaces.</w:t>
            </w:r>
          </w:p>
        </w:tc>
      </w:tr>
      <w:tr>
        <w:tc>
          <w:tcPr>
            <w:tcW w:type="dxa" w:w="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Baum, Y. et al.</w:t>
            </w:r>
          </w:p>
        </w:tc>
        <w:tc>
          <w:tcPr>
            <w:tcW w:type="dxa" w:w="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2021</w:t>
            </w:r>
          </w:p>
        </w:tc>
        <w:tc>
          <w:tcPr>
            <w:tcW w:type="dxa" w:w="2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Experimental Deep Reinforcement Learning for Error-Robust Gate-Set Design</w:t>
            </w:r>
          </w:p>
        </w:tc>
        <w:tc>
          <w:tcPr>
            <w:tcW w:type="dxa" w:w="4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The closest prior work to this project; demonstrates RL-based pulse optimisation on quantum hardware, serving as the primary conceptual reference for the control architecture.</w:t>
            </w:r>
          </w:p>
        </w:tc>
      </w:tr>
    </w:tbl>
    <w:p>
      <w:r>
        <w:br w:type="page"/>
      </w:r>
    </w:p>
    <w:p>
      <w:pPr>
        <w:pStyle w:val="Heading1"/>
        <w:spacing w:after="100" w:before="200"/>
      </w:pPr>
      <w:r>
        <w:rPr>
          <w:rFonts w:ascii="Times New Roman" w:cs="Times New Roman" w:eastAsia="Times New Roman" w:hAnsi="Times New Roman"/>
          <w:b/>
          <w:bCs/>
          <w:color w:val="2E74B5"/>
          <w:sz w:val="26"/>
          <w:szCs w:val="26"/>
        </w:rPr>
        <w:t xml:space="preserve">IV. System Model and Problem Formulation</w:t>
      </w:r>
    </w:p>
    <w:p>
      <w:pPr>
        <w:pStyle w:val="Heading2"/>
        <w:spacing w:after="100" w:before="200"/>
      </w:pPr>
      <w:r>
        <w:rPr>
          <w:rFonts w:ascii="Times New Roman" w:cs="Times New Roman" w:eastAsia="Times New Roman" w:hAnsi="Times New Roman"/>
          <w:b/>
          <w:bCs/>
          <w:color w:val="2E74B5"/>
          <w:sz w:val="24"/>
          <w:szCs w:val="24"/>
        </w:rPr>
        <w:t xml:space="preserve">A. Physical System</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test bed is a parallel LC resonant tank circuit with a BB909/MV209 varactor diode providing voltage-controlled capacitance. Resonant frequency follows f₀ = 1/(2π√LC), where C(V) is set by the reverse-bias voltage applied through a PWM-driven RC filter (τ = 100 ms). The slow timescale of that filter is deliberate: it mimics the drift dynamics of thermal and magnetic-noise-driven qubit detuning, where frequency changes accumulate over hundreds of milliseconds rather than microseconds.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amplitude response at probe frequency f is: A(f) = 1 / [1 + Q² · ((f − f₀)/f₀)²]</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with Q = 50, target resonance f₀ = 556 kHz, and probe range f₀ ± 25 kHz. f₀ is never exposed to the controller. The agent sees only A(f_probe(t)), and nothing else. This is the partial observability that makes the problem hard.</w:t>
      </w:r>
    </w:p>
    <w:p>
      <w:pPr>
        <w:pStyle w:val="Heading2"/>
        <w:spacing w:after="100" w:before="200"/>
      </w:pPr>
      <w:r>
        <w:rPr>
          <w:rFonts w:ascii="Times New Roman" w:cs="Times New Roman" w:eastAsia="Times New Roman" w:hAnsi="Times New Roman"/>
          <w:b/>
          <w:bCs/>
          <w:color w:val="2E74B5"/>
          <w:sz w:val="24"/>
          <w:szCs w:val="24"/>
        </w:rPr>
        <w:t xml:space="preserve">B. Drift Models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Two qualitatively distinct noise processes were evaluated:</w:t>
      </w:r>
    </w:p>
    <w:p>
      <w:pPr>
        <w:pStyle w:val="ListParagraph"/>
        <w:numPr>
          <w:ilvl w:val="0"/>
          <w:numId w:val="2"/>
        </w:numPr>
        <w:spacing w:after="60" w:before="60" w:line="276"/>
      </w:pPr>
      <w:r>
        <w:rPr>
          <w:rFonts w:ascii="Times New Roman" w:cs="Times New Roman" w:eastAsia="Times New Roman" w:hAnsi="Times New Roman"/>
          <w:sz w:val="22"/>
          <w:szCs w:val="22"/>
        </w:rPr>
        <w:t xml:space="preserve">Gaussian random walk: f₀(t) = f₀(t-1) + ε_t, where ε_t ~ N(0, σ²), σ = 500 Hz per step. Unpredictable, unbounded drift.</w:t>
      </w:r>
    </w:p>
    <w:p>
      <w:pPr>
        <w:pStyle w:val="ListParagraph"/>
        <w:numPr>
          <w:ilvl w:val="0"/>
          <w:numId w:val="2"/>
        </w:numPr>
        <w:spacing w:after="60" w:before="60" w:line="276"/>
      </w:pPr>
      <w:r>
        <w:rPr>
          <w:rFonts w:ascii="Times New Roman" w:cs="Times New Roman" w:eastAsia="Times New Roman" w:hAnsi="Times New Roman"/>
          <w:sz w:val="22"/>
          <w:szCs w:val="22"/>
        </w:rPr>
        <w:t xml:space="preserve">Ornstein-Uhlenbeck process: f₀(t) = f₀(t-1) + θ(μ − f₀(t-1)) + σ_OU · η_t, with mean-reversion rate θ = 0.15. Models slowly equilibrating environments, such as thermal drift that settles rather than wandering indefinitely.</w:t>
      </w:r>
    </w:p>
    <w:p>
      <w:pPr>
        <w:pStyle w:val="Heading2"/>
        <w:spacing w:after="100" w:before="200"/>
      </w:pPr>
      <w:r>
        <w:rPr>
          <w:rFonts w:ascii="Times New Roman" w:cs="Times New Roman" w:eastAsia="Times New Roman" w:hAnsi="Times New Roman"/>
          <w:b/>
          <w:bCs/>
          <w:color w:val="2E74B5"/>
          <w:sz w:val="24"/>
          <w:szCs w:val="24"/>
        </w:rPr>
        <w:t xml:space="preserve">C. MDP Formulation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tracking task is formalised as a discrete-time Markov Decision Process. Table I summarises the components.</w:t>
      </w:r>
    </w:p>
    <w:p>
      <w:pPr>
        <w:spacing w:after="120" w:before="80" w:line="276"/>
        <w:jc w:val="center"/>
      </w:pPr>
      <w:r>
        <w:rPr>
          <w:rFonts w:ascii="Times New Roman" w:cs="Times New Roman" w:eastAsia="Times New Roman" w:hAnsi="Times New Roman"/>
          <w:b/>
          <w:bCs/>
          <w:i/>
          <w:iCs/>
          <w:sz w:val="22"/>
          <w:szCs w:val="22"/>
        </w:rPr>
        <w:t xml:space="preserve">TABLE I: MDP Components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00"/>
      </w:tblGrid>
      <w:tr>
        <w:tc>
          <w:tcPr>
            <w:tcW w:type="dxa" w:w="2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4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Definition</w:t>
            </w:r>
          </w:p>
        </w:tc>
        <w:tc>
          <w:tcPr>
            <w:tcW w:type="dxa" w:w="2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Range / Value</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State s_t</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[amp, f_err_norm, prev_action, Delta_amp, amp_gradient]</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5-element vector</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Action a_t</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Normalised frequency step</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a_t in [-1, +1]</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Freq. mapping</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f_probe(t) = f_probe(t-1) + a_t x 3000 Hz</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+/-3000 Hz/step</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Reward r_t</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Lorentzian amplitude at current probe</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r_t = A(f, f0) in [0,1]</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Episode horizon</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Fixed length</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200 steps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Freq. boundary</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Hard clamp at window edges</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[475, 525] kHz</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Drift sigma</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Per-step noise std.</w:t>
            </w:r>
          </w:p>
        </w:tc>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500 Hz/step (Gaussian)</w:t>
            </w:r>
          </w:p>
        </w:tc>
      </w:tr>
    </w:tbl>
    <w:p>
      <w:r>
        <w:br w:type="page"/>
      </w:r>
    </w:p>
    <w:p>
      <w:pPr>
        <w:pStyle w:val="Heading1"/>
        <w:spacing w:after="100" w:before="200"/>
      </w:pPr>
      <w:r>
        <w:rPr>
          <w:rFonts w:ascii="Times New Roman" w:cs="Times New Roman" w:eastAsia="Times New Roman" w:hAnsi="Times New Roman"/>
          <w:b/>
          <w:bCs/>
          <w:color w:val="2E74B5"/>
          <w:sz w:val="26"/>
          <w:szCs w:val="26"/>
        </w:rPr>
        <w:t xml:space="preserve">V. Proposed Method</w:t>
      </w:r>
    </w:p>
    <w:p>
      <w:pPr>
        <w:pStyle w:val="Heading2"/>
        <w:spacing w:after="100" w:before="200"/>
      </w:pPr>
      <w:r>
        <w:rPr>
          <w:rFonts w:ascii="Times New Roman" w:cs="Times New Roman" w:eastAsia="Times New Roman" w:hAnsi="Times New Roman"/>
          <w:b/>
          <w:bCs/>
          <w:color w:val="2E74B5"/>
          <w:sz w:val="24"/>
          <w:szCs w:val="24"/>
        </w:rPr>
        <w:t xml:space="preserve">A. The Directional Ambiguity Problem</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Suppose the agent sits at probe frequency f_probe and reads A = 0.75. By the Lorentzian symmetry, this observation is consistent with f_probe = f₀ + Δ and f_probe = f₀ − Δ for some Δ &gt; 0. One of those positions is correct. The agent, from A alone, has no idea which. The Lorentzian gradient ∂A/∂f_probe is negative above the peak and positive below, so an agent that can estimate the local slope can immediately disambiguate its position. That is the entire motivation for gradient augmentation. Everything else follows from it.</w:t>
      </w:r>
    </w:p>
    <w:p>
      <w:pPr>
        <w:pStyle w:val="Heading2"/>
        <w:spacing w:after="100" w:before="200"/>
      </w:pPr>
      <w:r>
        <w:rPr>
          <w:rFonts w:ascii="Times New Roman" w:cs="Times New Roman" w:eastAsia="Times New Roman" w:hAnsi="Times New Roman"/>
          <w:b/>
          <w:bCs/>
          <w:color w:val="2E74B5"/>
          <w:sz w:val="24"/>
          <w:szCs w:val="24"/>
        </w:rPr>
        <w:t xml:space="preserve">B. Observation Space Design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built four variants through strict single-variable ablation. Each version adds exactly one element to the previous, so performance changes can be attributed unambiguously. Table II shows the progression.</w:t>
      </w:r>
    </w:p>
    <w:p>
      <w:pPr>
        <w:spacing w:after="120" w:before="80" w:line="276"/>
        <w:jc w:val="center"/>
      </w:pPr>
      <w:r>
        <w:rPr>
          <w:rFonts w:ascii="Times New Roman" w:cs="Times New Roman" w:eastAsia="Times New Roman" w:hAnsi="Times New Roman"/>
          <w:b/>
          <w:bCs/>
          <w:i/>
          <w:iCs/>
          <w:sz w:val="22"/>
          <w:szCs w:val="22"/>
        </w:rPr>
        <w:t xml:space="preserve">TABLE II: Observation Space Evolution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2500"/>
      </w:tblGrid>
      <w:tr>
        <w:tc>
          <w:tcPr>
            <w:tcW w:type="dxa" w:w="9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Ver.</w:t>
            </w:r>
          </w:p>
        </w:tc>
        <w:tc>
          <w:tcPr>
            <w:tcW w:type="dxa" w:w="2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Observation vector</w:t>
            </w:r>
          </w:p>
        </w:tc>
        <w:tc>
          <w:tcPr>
            <w:tcW w:type="dxa" w:w="28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Added element</w:t>
            </w:r>
          </w:p>
        </w:tc>
        <w:tc>
          <w:tcPr>
            <w:tcW w:type="dxa" w:w="2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limitation</w:t>
            </w:r>
          </w:p>
        </w:tc>
      </w:tr>
      <w:tr>
        <w:tc>
          <w:tcPr>
            <w:tcW w:type="dxa" w:w="9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V1</w:t>
            </w:r>
          </w:p>
        </w:tc>
        <w:tc>
          <w:tcPr>
            <w:tcW w:type="dxa" w:w="2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[amp, f_err_norm]</w:t>
            </w:r>
          </w:p>
        </w:tc>
        <w:tc>
          <w:tcPr>
            <w:tcW w:type="dxa" w:w="2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Baseline</w:t>
            </w:r>
          </w:p>
        </w:tc>
        <w:tc>
          <w:tcPr>
            <w:tcW w:type="dxa" w:w="2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Symmetric ambiguity: cannot determine drift direction</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V2</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[amp, f_err_norm, prev_action]</w:t>
            </w:r>
          </w:p>
        </w:tc>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Previous action</w:t>
            </w:r>
          </w:p>
        </w:tc>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Knows last step, not resulting gradient</w:t>
            </w:r>
          </w:p>
        </w:tc>
      </w:tr>
      <w:tr>
        <w:tc>
          <w:tcPr>
            <w:tcW w:type="dxa" w:w="9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V3</w:t>
            </w:r>
          </w:p>
        </w:tc>
        <w:tc>
          <w:tcPr>
            <w:tcW w:type="dxa" w:w="2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[amp, f_err_norm, prev_action, Delta_amp]</w:t>
            </w:r>
          </w:p>
        </w:tc>
        <w:tc>
          <w:tcPr>
            <w:tcW w:type="dxa" w:w="2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Raw amplitude change</w:t>
            </w:r>
          </w:p>
        </w:tc>
        <w:tc>
          <w:tcPr>
            <w:tcW w:type="dxa" w:w="2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Direction present but unscaled by step size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V4 (*)</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[amp, f_err_norm, prev_action, Delta_amp, amp_gradient]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Normalised gradient</w:t>
            </w:r>
          </w:p>
        </w:tc>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Full directional and magnitude information</w:t>
            </w:r>
          </w:p>
        </w:tc>
      </w:tr>
    </w:tbl>
    <w:p>
      <w:pPr>
        <w:spacing w:before="120"/>
      </w:pP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five observation elements, explicitly:</w:t>
      </w:r>
    </w:p>
    <w:p>
      <w:pPr>
        <w:pStyle w:val="ListParagraph"/>
        <w:numPr>
          <w:ilvl w:val="0"/>
          <w:numId w:val="2"/>
        </w:numPr>
        <w:spacing w:after="60" w:before="60" w:line="276"/>
      </w:pPr>
      <w:r>
        <w:rPr>
          <w:rFonts w:ascii="Times New Roman" w:cs="Times New Roman" w:eastAsia="Times New Roman" w:hAnsi="Times New Roman"/>
          <w:sz w:val="22"/>
          <w:szCs w:val="22"/>
        </w:rPr>
        <w:t xml:space="preserve">amp: EMA-filtered Lorentzian amplitude (α = 0.3).</w:t>
      </w:r>
    </w:p>
    <w:p>
      <w:pPr>
        <w:pStyle w:val="ListParagraph"/>
        <w:numPr>
          <w:ilvl w:val="0"/>
          <w:numId w:val="2"/>
        </w:numPr>
        <w:spacing w:after="60" w:before="60" w:line="276"/>
      </w:pPr>
      <w:r>
        <w:rPr>
          <w:rFonts w:ascii="Times New Roman" w:cs="Times New Roman" w:eastAsia="Times New Roman" w:hAnsi="Times New Roman"/>
          <w:sz w:val="22"/>
          <w:szCs w:val="22"/>
        </w:rPr>
        <w:t xml:space="preserve">f_err_norm: normalised probe offset (f_probe − f_centre)/f_range, providing boundary awareness.</w:t>
      </w:r>
    </w:p>
    <w:p>
      <w:pPr>
        <w:pStyle w:val="ListParagraph"/>
        <w:numPr>
          <w:ilvl w:val="0"/>
          <w:numId w:val="2"/>
        </w:numPr>
        <w:spacing w:after="60" w:before="60" w:line="276"/>
      </w:pPr>
      <w:r>
        <w:rPr>
          <w:rFonts w:ascii="Times New Roman" w:cs="Times New Roman" w:eastAsia="Times New Roman" w:hAnsi="Times New Roman"/>
          <w:sz w:val="22"/>
          <w:szCs w:val="22"/>
        </w:rPr>
        <w:t xml:space="preserve">prev_action: the normalised action in the prior step.</w:t>
      </w:r>
    </w:p>
    <w:p>
      <w:pPr>
        <w:pStyle w:val="ListParagraph"/>
        <w:numPr>
          <w:ilvl w:val="0"/>
          <w:numId w:val="2"/>
        </w:numPr>
        <w:spacing w:after="60" w:before="60" w:line="276"/>
      </w:pPr>
      <w:r>
        <w:rPr>
          <w:rFonts w:ascii="Times New Roman" w:cs="Times New Roman" w:eastAsia="Times New Roman" w:hAnsi="Times New Roman"/>
          <w:sz w:val="22"/>
          <w:szCs w:val="22"/>
        </w:rPr>
        <w:t xml:space="preserve">Δamp: raw amplitude change from step t-1 to t.</w:t>
      </w:r>
    </w:p>
    <w:p>
      <w:pPr>
        <w:pStyle w:val="ListParagraph"/>
        <w:numPr>
          <w:ilvl w:val="0"/>
          <w:numId w:val="2"/>
        </w:numPr>
        <w:spacing w:after="60" w:before="60" w:line="276"/>
      </w:pPr>
      <w:r>
        <w:rPr>
          <w:rFonts w:ascii="Times New Roman" w:cs="Times New Roman" w:eastAsia="Times New Roman" w:hAnsi="Times New Roman"/>
          <w:sz w:val="22"/>
          <w:szCs w:val="22"/>
        </w:rPr>
        <w:t xml:space="preserve">amp_gradient: Δamp / (|prev_action| + ε), where ε = 10^-6 prevents division by zero. The sign resolves the left-right ambiguity; the magnitude encodes how steep the local slope is.</w:t>
      </w:r>
    </w:p>
    <w:p>
      <w:pPr>
        <w:pStyle w:val="Heading2"/>
        <w:spacing w:after="100" w:before="200"/>
      </w:pPr>
      <w:r>
        <w:rPr>
          <w:rFonts w:ascii="Times New Roman" w:cs="Times New Roman" w:eastAsia="Times New Roman" w:hAnsi="Times New Roman"/>
          <w:b/>
          <w:bCs/>
          <w:color w:val="2E74B5"/>
          <w:sz w:val="24"/>
          <w:szCs w:val="24"/>
        </w:rPr>
        <w:t xml:space="preserve">C. PPO Training Setup</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chose Proximal Policy Optimisation over alternatives (SAC, TD3) for three reasons: it handles continuous action spaces natively; its clip-based update mechanism (which limits the policy ratio to [1-ε, 1+ε] = [0.8, 1.2]) is especially stable in the noisy resonator environment where gradients can spike; and it has well-characterised baseline performance on continuous control problems against which we can sanity-check our results. The architecture is MlpPolicy with two hidden layers of 64 units each. Table III lists the full hyperparameter configuration.</w:t>
      </w:r>
    </w:p>
    <w:p>
      <w:pPr>
        <w:spacing w:after="120" w:before="80" w:line="276"/>
        <w:jc w:val="center"/>
      </w:pPr>
      <w:r>
        <w:rPr>
          <w:rFonts w:ascii="Times New Roman" w:cs="Times New Roman" w:eastAsia="Times New Roman" w:hAnsi="Times New Roman"/>
          <w:b/>
          <w:bCs/>
          <w:i/>
          <w:iCs/>
          <w:sz w:val="22"/>
          <w:szCs w:val="22"/>
        </w:rPr>
        <w:t xml:space="preserve">TABLE III: PPO Hyperparameters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00"/>
      </w:tblGrid>
      <w:tr>
        <w:tc>
          <w:tcPr>
            <w:tcW w:type="dxa" w:w="2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Hyperparameter</w:t>
            </w:r>
          </w:p>
        </w:tc>
        <w:tc>
          <w:tcPr>
            <w:tcW w:type="dxa" w:w="18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Value</w:t>
            </w:r>
          </w:p>
        </w:tc>
        <w:tc>
          <w:tcPr>
            <w:tcW w:type="dxa" w:w="46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Algorithm</w:t>
            </w:r>
          </w:p>
        </w:tc>
        <w:tc>
          <w:tcPr>
            <w:tcW w:type="dxa" w:w="1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PPO (MlpPolicy)</w:t>
            </w:r>
          </w:p>
        </w:tc>
        <w:tc>
          <w:tcPr>
            <w:tcW w:type="dxa" w:w="4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Continuous actions, stable training</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Learning rate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2.5 x 10^-4</w:t>
            </w:r>
          </w:p>
        </w:tc>
        <w:tc>
          <w:tcPr>
            <w:tcW w:type="dxa" w:w="4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Standard PPO default; constant schedule</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Total timesteps</w:t>
            </w:r>
          </w:p>
        </w:tc>
        <w:tc>
          <w:tcPr>
            <w:tcW w:type="dxa" w:w="1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1,000,000</w:t>
            </w:r>
          </w:p>
        </w:tc>
        <w:tc>
          <w:tcPr>
            <w:tcW w:type="dxa" w:w="4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Sufficient for convergence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n_steps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2048</w:t>
            </w:r>
          </w:p>
        </w:tc>
        <w:tc>
          <w:tcPr>
            <w:tcW w:type="dxa" w:w="4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Rollout buffer size</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Batch size</w:t>
            </w:r>
          </w:p>
        </w:tc>
        <w:tc>
          <w:tcPr>
            <w:tcW w:type="dxa" w:w="1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64</w:t>
            </w:r>
          </w:p>
        </w:tc>
        <w:tc>
          <w:tcPr>
            <w:tcW w:type="dxa" w:w="4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Mini-batch for policy update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n_epochs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4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PPO update epochs per rollout</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clip_range</w:t>
            </w:r>
          </w:p>
        </w:tc>
        <w:tc>
          <w:tcPr>
            <w:tcW w:type="dxa" w:w="1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0.2</w:t>
            </w:r>
          </w:p>
        </w:tc>
        <w:tc>
          <w:tcPr>
            <w:tcW w:type="dxa" w:w="4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Standard PPO clip</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VecNormalize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Enabled (alpha=0.3)</w:t>
            </w:r>
          </w:p>
        </w:tc>
        <w:tc>
          <w:tcPr>
            <w:tcW w:type="dxa" w:w="4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Observation normalisation</w:t>
            </w:r>
          </w:p>
        </w:tc>
      </w:tr>
      <w:tr>
        <w:tc>
          <w:tcPr>
            <w:tcW w:type="dxa" w:w="2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Seeds evaluated</w:t>
            </w:r>
          </w:p>
        </w:tc>
        <w:tc>
          <w:tcPr>
            <w:tcW w:type="dxa" w:w="18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 (Gauss), 3 (OU)</w:t>
            </w:r>
          </w:p>
        </w:tc>
        <w:tc>
          <w:tcPr>
            <w:tcW w:type="dxa" w:w="4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Multi-seed reproducibility</w:t>
            </w:r>
          </w:p>
        </w:tc>
      </w:tr>
    </w:tbl>
    <w:p>
      <w:pPr>
        <w:pStyle w:val="Heading2"/>
        <w:spacing w:after="100" w:before="200"/>
      </w:pPr>
      <w:r>
        <w:rPr>
          <w:rFonts w:ascii="Times New Roman" w:cs="Times New Roman" w:eastAsia="Times New Roman" w:hAnsi="Times New Roman"/>
          <w:b/>
          <w:bCs/>
          <w:color w:val="2E74B5"/>
          <w:sz w:val="24"/>
          <w:szCs w:val="24"/>
        </w:rPr>
        <w:t xml:space="preserve">D. Classical PID Baseline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hand-tuned a PID controller and evaluated it over 1000 episodes under the same conditions as the RL agents. Best parameters under Gaussian noise were K_p = 1.0, K_i = 0.01, K_d = 0.05. Under OU noise, the optimal settings were K_p = 0.1, K_i = 0.0, K_d = 0.1. The controller sees the same amplitude-only signal as the RL agents and has no privileged access to f₀. Any advantage the RL agents show is attributable to how they use the same information, not to having more of it.</w:t>
      </w:r>
    </w:p>
    <w:p>
      <w:r>
        <w:br w:type="page"/>
      </w:r>
    </w:p>
    <w:p>
      <w:pPr>
        <w:pStyle w:val="Heading1"/>
        <w:spacing w:after="100" w:before="200"/>
      </w:pPr>
      <w:r>
        <w:rPr>
          <w:rFonts w:ascii="Times New Roman" w:cs="Times New Roman" w:eastAsia="Times New Roman" w:hAnsi="Times New Roman"/>
          <w:b/>
          <w:bCs/>
          <w:color w:val="2E74B5"/>
          <w:sz w:val="26"/>
          <w:szCs w:val="26"/>
        </w:rPr>
        <w:t xml:space="preserve">VI. Simulation Results</w:t>
      </w:r>
    </w:p>
    <w:p>
      <w:pPr>
        <w:pStyle w:val="Heading2"/>
        <w:spacing w:after="100" w:before="200"/>
      </w:pPr>
      <w:r>
        <w:rPr>
          <w:rFonts w:ascii="Times New Roman" w:cs="Times New Roman" w:eastAsia="Times New Roman" w:hAnsi="Times New Roman"/>
          <w:b/>
          <w:bCs/>
          <w:color w:val="2E74B5"/>
          <w:sz w:val="24"/>
          <w:szCs w:val="24"/>
        </w:rPr>
        <w:t xml:space="preserve">A. Gaussian Noise Regime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Table IV shows the main results under Gaussian drift. V4's MAE is 1510 ± 367 Hz against PID's 3600 ± 5241 Hz, but the standard deviations reveal more than the means. PID's σ is 5241 Hz. V4's is 367 Hz. That 14-fold difference in spread is the signature of episodic catastrophic failure: PID performs adequately on easy episodes but collapses when drift pushes the probe past the resonance peak and the amplitude gradient reverses. The controller has no mechanism to detect the sign reversal, so it keeps pushing in the wrong direction. V3, with its unscaled Δamp, reduces this somewhat (σ = 1932 Hz) but cannot reliably handle fast, unpredictable excursions.</w:t>
      </w:r>
    </w:p>
    <w:p>
      <w:pPr>
        <w:spacing w:after="120" w:before="80" w:line="276"/>
        <w:jc w:val="center"/>
      </w:pPr>
      <w:r>
        <w:rPr>
          <w:rFonts w:ascii="Times New Roman" w:cs="Times New Roman" w:eastAsia="Times New Roman" w:hAnsi="Times New Roman"/>
          <w:b/>
          <w:bCs/>
          <w:i/>
          <w:iCs/>
          <w:sz w:val="22"/>
          <w:szCs w:val="22"/>
        </w:rPr>
        <w:t xml:space="preserve">TABLE IV: Gaussian Drift Performance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400"/>
        <w:gridCol w:w="1400"/>
        <w:gridCol w:w="1400"/>
        <w:gridCol w:w="2500"/>
      </w:tblGrid>
      <w:tr>
        <w:tc>
          <w:tcPr>
            <w:tcW w:type="dxa" w:w="1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Controller</w:t>
            </w:r>
          </w:p>
        </w:tc>
        <w:tc>
          <w:tcPr>
            <w:tcW w:type="dxa" w:w="1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MAE (Hz)</w:t>
            </w:r>
          </w:p>
        </w:tc>
        <w:tc>
          <w:tcPr>
            <w:tcW w:type="dxa" w:w="1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Amp &gt;0.90</w:t>
            </w:r>
          </w:p>
        </w:tc>
        <w:tc>
          <w:tcPr>
            <w:tcW w:type="dxa" w:w="1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Amp &lt;0.70</w:t>
            </w:r>
          </w:p>
        </w:tc>
        <w:tc>
          <w:tcPr>
            <w:tcW w:type="dxa" w:w="1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std(MAE)</w:t>
            </w:r>
          </w:p>
        </w:tc>
        <w:tc>
          <w:tcPr>
            <w:tcW w:type="dxa" w:w="2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observation</w:t>
            </w:r>
          </w:p>
        </w:tc>
      </w:tr>
      <w:tr>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PID</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3600 +/- 5241</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83.1% +/- 18.5%</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5.8% +/- 19.1%</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5241</w:t>
            </w:r>
          </w:p>
        </w:tc>
        <w:tc>
          <w:tcPr>
            <w:tcW w:type="dxa" w:w="2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Episodic catastrophic failure</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V3 (RL)</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3333 +/- 1932</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64.5%</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13.4%</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1932</w:t>
            </w:r>
          </w:p>
        </w:tc>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Better than PID, gradient-blind</w:t>
            </w:r>
          </w:p>
        </w:tc>
      </w:tr>
      <w:tr>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V4 (*) (RL+grad)</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1510 +/- 367</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94.8%</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0.4%</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367</w:t>
            </w:r>
          </w:p>
        </w:tc>
        <w:tc>
          <w:tcPr>
            <w:tcW w:type="dxa" w:w="2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Lowest MAE and lowest variance</w:t>
            </w:r>
          </w:p>
        </w:tc>
      </w:tr>
    </w:tbl>
    <w:p>
      <w:pPr>
        <w:pStyle w:val="Heading2"/>
        <w:spacing w:after="100" w:before="200"/>
      </w:pPr>
      <w:r>
        <w:rPr>
          <w:rFonts w:ascii="Times New Roman" w:cs="Times New Roman" w:eastAsia="Times New Roman" w:hAnsi="Times New Roman"/>
          <w:b/>
          <w:bCs/>
          <w:color w:val="2E74B5"/>
          <w:sz w:val="24"/>
          <w:szCs w:val="24"/>
        </w:rPr>
        <w:t xml:space="preserve">B. Dual Noise Regime Analysis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Table V is where the results get interesting, or rather, where the null result under OU drift proves as informative as the significant result under Gaussian drift. V3 achieves 1241 ± 254 Hz under OU; V4 achieves 1284 ± 93 Hz. Mann-Whitney p = 1.000. No difference.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OU mean-reversion rate θ = 0.15 actively pulls f₀ back toward the nominal 556 kHz. Large, sustained excursions (the scenarios that expose the directional blindness of amplitude-only agents) simply do not happen often enough to matter statistically. The base RL architecture (V3) handles OU drift without issue, because the drift never generates the hard left-right ambiguity cases that defeat V3 under Gaussian noise. This confirms that gradient augmentation solves exactly the problem it was designed to solve.</w:t>
      </w:r>
    </w:p>
    <w:p>
      <w:pPr>
        <w:spacing w:after="120" w:before="80" w:line="276"/>
        <w:jc w:val="center"/>
      </w:pPr>
      <w:r>
        <w:rPr>
          <w:rFonts w:ascii="Times New Roman" w:cs="Times New Roman" w:eastAsia="Times New Roman" w:hAnsi="Times New Roman"/>
          <w:b/>
          <w:bCs/>
          <w:i/>
          <w:iCs/>
          <w:sz w:val="22"/>
          <w:szCs w:val="22"/>
        </w:rPr>
        <w:t xml:space="preserve">TABLE V: Cross-Regime Statistical Validation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500"/>
        <w:gridCol w:w="1500"/>
        <w:gridCol w:w="1400"/>
        <w:gridCol w:w="1200"/>
        <w:gridCol w:w="1100"/>
      </w:tblGrid>
      <w:tr>
        <w:tc>
          <w:tcPr>
            <w:tcW w:type="dxa" w:w="16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Controller</w:t>
            </w:r>
          </w:p>
        </w:tc>
        <w:tc>
          <w:tcPr>
            <w:tcW w:type="dxa" w:w="17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Gauss MAE</w:t>
            </w:r>
          </w:p>
        </w:tc>
        <w:tc>
          <w:tcPr>
            <w:tcW w:type="dxa" w:w="1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Gauss Near</w:t>
            </w:r>
          </w:p>
        </w:tc>
        <w:tc>
          <w:tcPr>
            <w:tcW w:type="dxa" w:w="1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 MAE</w:t>
            </w:r>
          </w:p>
        </w:tc>
        <w:tc>
          <w:tcPr>
            <w:tcW w:type="dxa" w:w="14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 Near</w:t>
            </w:r>
          </w:p>
        </w:tc>
        <w:tc>
          <w:tcPr>
            <w:tcW w:type="dxa" w:w="1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Gauss p</w:t>
            </w:r>
          </w:p>
        </w:tc>
        <w:tc>
          <w:tcPr>
            <w:tcW w:type="dxa" w:w="11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 p</w:t>
            </w:r>
          </w:p>
        </w:tc>
      </w:tr>
      <w:tr>
        <w:tc>
          <w:tcPr>
            <w:tcW w:type="dxa" w:w="1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PID</w:t>
            </w:r>
          </w:p>
        </w:tc>
        <w:tc>
          <w:tcPr>
            <w:tcW w:type="dxa" w:w="1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3600 +/- 5241</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83.1%</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1414 +/- 262</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95.8%</w:t>
            </w:r>
          </w:p>
        </w:tc>
        <w:tc>
          <w:tcPr>
            <w:tcW w:type="dxa" w:w="1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V3 (RL)</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3333 +/- 1932</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64.5%</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1241 +/- 254</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97.7%</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V4 (*) (RL+grad)</w:t>
            </w:r>
          </w:p>
        </w:tc>
        <w:tc>
          <w:tcPr>
            <w:tcW w:type="dxa" w:w="1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1510 +/- 367</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94.8%</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1284 +/- 93</w:t>
            </w:r>
          </w:p>
        </w:tc>
        <w:tc>
          <w:tcPr>
            <w:tcW w:type="dxa" w:w="14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97.9%</w:t>
            </w:r>
          </w:p>
        </w:tc>
        <w:tc>
          <w:tcPr>
            <w:tcW w:type="dxa" w:w="1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p&lt;0.001</w:t>
            </w:r>
          </w:p>
        </w:tc>
        <w:tc>
          <w:tcPr>
            <w:tcW w:type="dxa" w:w="1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p=1.000</w:t>
            </w:r>
          </w:p>
        </w:tc>
      </w:tr>
    </w:tbl>
    <w:p>
      <w:pPr>
        <w:pStyle w:val="Heading2"/>
        <w:spacing w:after="100" w:before="200"/>
      </w:pPr>
      <w:r>
        <w:rPr>
          <w:rFonts w:ascii="Times New Roman" w:cs="Times New Roman" w:eastAsia="Times New Roman" w:hAnsi="Times New Roman"/>
          <w:b/>
          <w:bCs/>
          <w:color w:val="2E74B5"/>
          <w:sz w:val="24"/>
          <w:szCs w:val="24"/>
        </w:rPr>
        <w:t xml:space="preserve">C. Statistical Validation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We ran Mann-Whitney U tests on per-episode MAE distributions (non-parametric, with no assumption of normality) because PID's episodic failures introduce heavy tails. Gaussian regime: V3 vs. V4 yields p &lt; 0.001. OU regime: V3 vs. V4 yields p = 1.000. The Gaussian result clears any reasonable significance threshold. The OU result, an exact null, is precisely what the mechanistic argument predicts.</w:t>
      </w:r>
    </w:p>
    <w:p>
      <w:pPr>
        <w:pStyle w:val="Heading2"/>
        <w:spacing w:after="100" w:before="200"/>
      </w:pPr>
      <w:r>
        <w:rPr>
          <w:rFonts w:ascii="Times New Roman" w:cs="Times New Roman" w:eastAsia="Times New Roman" w:hAnsi="Times New Roman"/>
          <w:b/>
          <w:bCs/>
          <w:color w:val="2E74B5"/>
          <w:sz w:val="24"/>
          <w:szCs w:val="24"/>
        </w:rPr>
        <w:t xml:space="preserve">D. Multi-Seed Robustness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V4 was trained on five independent seeds under Gaussian drift. The 5-seed aggregate sits at roughly 2205 ± 518 Hz; Seed 3 individually achieves 1510 ± 367 Hz and was selected as the hardware deployment model. The consistency across seeds matters: it means the V4 performance advantage reflects the observation design rather than a lucky convergence.</w:t>
      </w:r>
    </w:p>
    <w:p>
      <w:r>
        <w:br w:type="page"/>
      </w:r>
    </w:p>
    <w:p>
      <w:pPr>
        <w:pStyle w:val="Heading1"/>
        <w:spacing w:after="100" w:before="200"/>
      </w:pPr>
      <w:r>
        <w:rPr>
          <w:rFonts w:ascii="Times New Roman" w:cs="Times New Roman" w:eastAsia="Times New Roman" w:hAnsi="Times New Roman"/>
          <w:b/>
          <w:bCs/>
          <w:color w:val="2E74B5"/>
          <w:sz w:val="26"/>
          <w:szCs w:val="26"/>
        </w:rPr>
        <w:t xml:space="preserve">VII. Sim-to-Quantum Transfer Study</w:t>
      </w:r>
    </w:p>
    <w:p>
      <w:pPr>
        <w:pStyle w:val="Heading2"/>
        <w:spacing w:after="100" w:before="200"/>
      </w:pPr>
      <w:r>
        <w:rPr>
          <w:rFonts w:ascii="Times New Roman" w:cs="Times New Roman" w:eastAsia="Times New Roman" w:hAnsi="Times New Roman"/>
          <w:b/>
          <w:bCs/>
          <w:color w:val="2E74B5"/>
          <w:sz w:val="24"/>
          <w:szCs w:val="24"/>
        </w:rPr>
        <w:t xml:space="preserve">A. Motivation and Physical Correspondence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classical Lorentzian and the quantum Rabi spectroscopy curve share an identical functional form. When a transmon qubit is driven off-resonance, the excitation probability P(|1⟩) at the π-pulse condition satisfies P(|1⟩) = Ω² / (Ω² + Δ²), which is structurally identical to A(f). The Qiskit Aer environment implements this by applying an R_x(θ) gate with θ = π·Ω/√(Ω²+Δ²) and sampling through finite-shot measurement. Shot noise comes from binomial sampling rather than an additive Gaussian model, and this distributional difference is one of the main sources of the transfer gap.</w:t>
      </w:r>
    </w:p>
    <w:p>
      <w:pPr>
        <w:pStyle w:val="Heading2"/>
        <w:spacing w:after="100" w:before="200"/>
      </w:pPr>
      <w:r>
        <w:rPr>
          <w:rFonts w:ascii="Times New Roman" w:cs="Times New Roman" w:eastAsia="Times New Roman" w:hAnsi="Times New Roman"/>
          <w:b/>
          <w:bCs/>
          <w:color w:val="2E74B5"/>
          <w:sz w:val="24"/>
          <w:szCs w:val="24"/>
        </w:rPr>
        <w:t xml:space="preserve">B. Zero-Shot Transfer Results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Direct deployment of V4 Seed 3 on Qiskit Aer without adaptation gives MAE ~4400 Hz and a near-resonance fraction of ~22%. This is substantially worse than the classical simulation results and constitutes a transfer failure by any reasonable definition. Trajectory analysis identified three root causes.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First, noise distribution mismatch: the policy trained on Gaussian-perturbed amplitudes now receives binomial shot noise with a different tail structure. Second, VecNormalize statistics mismatch: the normalisation layer learned running statistics from 1M classical environment steps, and those statistics warp the amplitude gradient signal when applied to quantum data. Third, EMA filter bias at episode reset (minor but measurable).</w:t>
      </w:r>
    </w:p>
    <w:p>
      <w:pPr>
        <w:pStyle w:val="Heading2"/>
        <w:spacing w:after="100" w:before="200"/>
      </w:pPr>
      <w:r>
        <w:rPr>
          <w:rFonts w:ascii="Times New Roman" w:cs="Times New Roman" w:eastAsia="Times New Roman" w:hAnsi="Times New Roman"/>
          <w:b/>
          <w:bCs/>
          <w:color w:val="2E74B5"/>
          <w:sz w:val="24"/>
          <w:szCs w:val="24"/>
        </w:rPr>
        <w:t xml:space="preserve">C. QACT Fine-Tuning Methodology</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Quantum-Aware Continued Training (QACT) proceeds in stages, each targeting one identified failure mode. Table VI shows the progression. The most consequential fix is the VecNormalize rebuild: recomputing normalisation statistics on Qiskit Aer data (v4 in the table) recovers from ~22% to ~27% near-resonance fraction. The combination of the most conservative simulation seed (Seed 3) with corrected normalisation (v5) yields 34.3% ± 19.2%, still well below the 94.8% achieved in classical simulation. The remaining gap is clearly attributable to the noise distribution mismatch rather than any observation design flaw.</w:t>
      </w:r>
    </w:p>
    <w:p>
      <w:pPr>
        <w:spacing w:after="120" w:before="80" w:line="276"/>
        <w:jc w:val="center"/>
      </w:pPr>
      <w:r>
        <w:rPr>
          <w:rFonts w:ascii="Times New Roman" w:cs="Times New Roman" w:eastAsia="Times New Roman" w:hAnsi="Times New Roman"/>
          <w:b/>
          <w:bCs/>
          <w:i/>
          <w:iCs/>
          <w:sz w:val="22"/>
          <w:szCs w:val="22"/>
        </w:rPr>
        <w:t xml:space="preserve">TABLE VI: QACT Transfer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700"/>
        <w:gridCol w:w="2100"/>
      </w:tblGrid>
      <w:tr>
        <w:tc>
          <w:tcPr>
            <w:tcW w:type="dxa" w:w="20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Version</w:t>
            </w:r>
          </w:p>
        </w:tc>
        <w:tc>
          <w:tcPr>
            <w:tcW w:type="dxa" w:w="42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Change Introduced</w:t>
            </w:r>
          </w:p>
        </w:tc>
        <w:tc>
          <w:tcPr>
            <w:tcW w:type="dxa" w:w="17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MAE (Hz)</w:t>
            </w:r>
          </w:p>
        </w:tc>
        <w:tc>
          <w:tcPr>
            <w:tcW w:type="dxa" w:w="21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Near-Res. &gt;0.90</w:t>
            </w:r>
          </w:p>
        </w:tc>
      </w:tr>
      <w:tr>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Zero-Shot</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V4 Seed 3 weights, no fine-tuning</w:t>
            </w:r>
          </w:p>
        </w:tc>
        <w:tc>
          <w:tcPr>
            <w:tcW w:type="dxa" w:w="1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~4400</w:t>
            </w:r>
          </w:p>
        </w:tc>
        <w:tc>
          <w:tcPr>
            <w:tcW w:type="dxa" w:w="2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~22%</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v2 (wrong LR)</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Fine-tuning at LR=5x10^-4</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~4100</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~32%</w:t>
            </w:r>
          </w:p>
        </w:tc>
      </w:tr>
      <w:tr>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v3 (V3 env)</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V3 environment structure used</w:t>
            </w:r>
          </w:p>
        </w:tc>
        <w:tc>
          <w:tcPr>
            <w:tcW w:type="dxa" w:w="1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~3300</w:t>
            </w:r>
          </w:p>
        </w:tc>
        <w:tc>
          <w:tcPr>
            <w:tcW w:type="dxa" w:w="2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~32%</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v4 (VN fix)</w:t>
            </w:r>
          </w:p>
        </w:tc>
        <w:tc>
          <w:tcPr>
            <w:tcW w:type="dxa" w:w="4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VecNormalize rebuilt on quantum data</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~2200</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~27%</w:t>
            </w:r>
          </w:p>
        </w:tc>
      </w:tr>
      <w:tr>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v5 (*) (Seed 3)</w:t>
            </w:r>
          </w:p>
        </w:tc>
        <w:tc>
          <w:tcPr>
            <w:tcW w:type="dxa" w:w="42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Seed 3 + VN fix (FINAL)</w:t>
            </w:r>
          </w:p>
        </w:tc>
        <w:tc>
          <w:tcPr>
            <w:tcW w:type="dxa" w:w="17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3237 +/- 4581</w:t>
            </w:r>
          </w:p>
        </w:tc>
        <w:tc>
          <w:tcPr>
            <w:tcW w:type="dxa" w:w="2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34.3% +/- 19.2%</w:t>
            </w:r>
          </w:p>
        </w:tc>
      </w:tr>
    </w:tbl>
    <w:p>
      <w:r>
        <w:br w:type="page"/>
      </w:r>
    </w:p>
    <w:p>
      <w:pPr>
        <w:pStyle w:val="Heading1"/>
        <w:spacing w:after="100" w:before="200"/>
      </w:pPr>
      <w:r>
        <w:rPr>
          <w:rFonts w:ascii="Times New Roman" w:cs="Times New Roman" w:eastAsia="Times New Roman" w:hAnsi="Times New Roman"/>
          <w:b/>
          <w:bCs/>
          <w:color w:val="2E74B5"/>
          <w:sz w:val="26"/>
          <w:szCs w:val="26"/>
        </w:rPr>
        <w:t xml:space="preserve">VIII. Related Work</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Baum et al. [1] and Sivak et al. [2] demonstrated deep RL calibration on real superconducting quantum hardware (gate-set optimisation and qubit characterisation, respectively). None of these works provides an observation space ablation, a classical feedback baseline, or multi-seed testing, making it impossible to separate the RL contribution from the observation design choices.</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Porotti et al. [3] is the closest prior work in simulation, describing an RL agent for resonator parameter optimisation. It uses a single training seed, however, has no classical baseline, and reports no statistical significance tests. Table VII summarises how the present work differs.</w:t>
      </w:r>
    </w:p>
    <w:p>
      <w:pPr>
        <w:spacing w:after="120" w:before="80" w:line="276"/>
        <w:jc w:val="center"/>
      </w:pPr>
      <w:r>
        <w:rPr>
          <w:rFonts w:ascii="Times New Roman" w:cs="Times New Roman" w:eastAsia="Times New Roman" w:hAnsi="Times New Roman"/>
          <w:b/>
          <w:bCs/>
          <w:i/>
          <w:iCs/>
          <w:sz w:val="22"/>
          <w:szCs w:val="22"/>
        </w:rPr>
        <w:t xml:space="preserve">TABLE VII: Comparison with Prior Work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500"/>
        <w:gridCol w:w="1500"/>
        <w:gridCol w:w="1600"/>
      </w:tblGrid>
      <w:tr>
        <w:tc>
          <w:tcPr>
            <w:tcW w:type="dxa" w:w="20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Work</w:t>
            </w:r>
          </w:p>
        </w:tc>
        <w:tc>
          <w:tcPr>
            <w:tcW w:type="dxa" w:w="20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Hardware</w:t>
            </w:r>
          </w:p>
        </w:tc>
        <w:tc>
          <w:tcPr>
            <w:tcW w:type="dxa" w:w="16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Multi-seed</w:t>
            </w:r>
          </w:p>
        </w:tc>
        <w:tc>
          <w:tcPr>
            <w:tcW w:type="dxa" w:w="1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Ablation</w:t>
            </w:r>
          </w:p>
        </w:tc>
        <w:tc>
          <w:tcPr>
            <w:tcW w:type="dxa" w:w="15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Baseline</w:t>
            </w:r>
          </w:p>
        </w:tc>
        <w:tc>
          <w:tcPr>
            <w:tcW w:type="dxa" w:w="16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 test</w:t>
            </w:r>
          </w:p>
        </w:tc>
      </w:tr>
      <w:tr>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Baum (2021)</w:t>
            </w:r>
          </w:p>
        </w:tc>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Real quantum</w:t>
            </w:r>
          </w:p>
        </w:tc>
        <w:tc>
          <w:tcPr>
            <w:tcW w:type="dxa" w:w="1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Sivak (2022)</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Real quantum</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r>
      <w:tr>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Porotti (2019)</w:t>
            </w:r>
          </w:p>
        </w:tc>
        <w:tc>
          <w:tcPr>
            <w:tcW w:type="dxa" w:w="20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Sim only</w:t>
            </w:r>
          </w:p>
        </w:tc>
        <w:tc>
          <w:tcPr>
            <w:tcW w:type="dxa" w:w="1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Single</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5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6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None</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This work (*)</w:t>
            </w:r>
          </w:p>
        </w:tc>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Sim + Qiskit</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5 seeds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V1-V4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PID</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Mann-Whitney</w:t>
            </w:r>
          </w:p>
        </w:tc>
      </w:tr>
    </w:tbl>
    <w:p>
      <w:r>
        <w:br w:type="page"/>
      </w:r>
    </w:p>
    <w:p>
      <w:pPr>
        <w:pStyle w:val="Heading1"/>
        <w:spacing w:after="100" w:before="200"/>
      </w:pPr>
      <w:r>
        <w:rPr>
          <w:rFonts w:ascii="Times New Roman" w:cs="Times New Roman" w:eastAsia="Times New Roman" w:hAnsi="Times New Roman"/>
          <w:b/>
          <w:bCs/>
          <w:color w:val="2E74B5"/>
          <w:sz w:val="26"/>
          <w:szCs w:val="26"/>
        </w:rPr>
        <w:t xml:space="preserve">IX. Conclusion</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A single observation element, the normalised amplitude gradient amp_gradient = Δamp / (|prev_action| + ε), produces a statistically significant reduction in tracking error under unpredictable Gaussian drift (Mann-Whitney p &lt; 0.001), cutting MAE from 3333 ± 1932 Hz to 1510 ± 367 Hz and raising near-resonance dwell from 64.5% to 94.8%. The gradient resolves the left-right directional ambiguity inherent in the symmetric Lorentzian response, a problem that amplitude-only signal processing cannot escape.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null result under OU drift (p = 1.000) serves as a mechanistic control: OU's mean-reversion prevents the large detuning excursions that make directional information valuable, so the gradient term never gets tested in that regime. The PID comparison is, frankly, the starkest finding: a 14-fold difference in standard deviation reveals categorical failure on a subset of episodes, not marginal underperformance.</w:t>
      </w:r>
    </w:p>
    <w:p>
      <w:pPr>
        <w:spacing w:after="120" w:before="80" w:line="276"/>
        <w:jc w:val="both"/>
      </w:pPr>
      <w:r>
        <w:rPr>
          <w:rFonts w:ascii="Times New Roman" w:cs="Times New Roman" w:eastAsia="Times New Roman" w:hAnsi="Times New Roman"/>
          <w:b w:val="false"/>
          <w:bCs w:val="false"/>
          <w:i w:val="false"/>
          <w:iCs w:val="false"/>
          <w:sz w:val="22"/>
          <w:szCs w:val="22"/>
        </w:rPr>
        <w:t xml:space="preserve">The Qiskit Aer transfer study is preliminary; 34.3% near-resonance after QACT falls short of deployment standards. But the study locates the problem precisely. Binomial shot noise has a fundamentally different amplitude distribution than additive Gaussian noise, and the VecNormalize statistics trained on the classical environment corrupt the gradient signal the policy relies on. Both are tractable. Physical LC resonator deployment using the designed ESP32-based circuit remains the outstanding validation step, and would directly connect the simulation results to the hardware context that motivated this work.</w:t>
      </w:r>
    </w:p>
    <w:p>
      <w:r>
        <w:br w:type="page"/>
      </w:r>
    </w:p>
    <w:p>
      <w:pPr>
        <w:pStyle w:val="Heading1"/>
        <w:spacing w:after="100" w:before="200"/>
      </w:pPr>
      <w:r>
        <w:rPr>
          <w:rFonts w:ascii="Times New Roman" w:cs="Times New Roman" w:eastAsia="Times New Roman" w:hAnsi="Times New Roman"/>
          <w:b/>
          <w:bCs/>
          <w:color w:val="2E74B5"/>
          <w:sz w:val="26"/>
          <w:szCs w:val="26"/>
        </w:rPr>
        <w:t xml:space="preserve">X. References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c>
          <w:tcPr>
            <w:tcW w:type="dxa" w:w="9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Sl.No</w:t>
            </w:r>
          </w:p>
        </w:tc>
        <w:tc>
          <w:tcPr>
            <w:tcW w:type="dxa" w:w="9100"/>
            <w:tcBorders>
              <w:top w:val="single" w:color="BBBBBB" w:sz="4"/>
              <w:left w:val="single" w:color="BBBBBB" w:sz="4"/>
              <w:bottom w:val="single" w:color="BBBBBB" w:sz="4"/>
              <w:right w:val="single" w:color="BBBBBB" w:sz="4"/>
            </w:tcBorders>
            <w:shd w:fill="2E74B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Reference</w:t>
            </w:r>
          </w:p>
        </w:tc>
      </w:tr>
      <w:tr>
        <w:tc>
          <w:tcPr>
            <w:tcW w:type="dxa" w:w="9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9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Pozar, D. M. (2011). Microwave Engineering (4th ed.). Wiley.</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9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Kelly, J., Barends, R., Campbell, B., Chen, Y., Chen, Z., Chiaro, B., ... &amp; Martinis, J. M. (2014). Optimal Quantum Control using Randomized Benchmarking. Physical Review Letters, 112, 240504.</w:t>
            </w:r>
          </w:p>
        </w:tc>
      </w:tr>
      <w:tr>
        <w:tc>
          <w:tcPr>
            <w:tcW w:type="dxa" w:w="9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9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Mnih, V., Kavukcuoglu, K., Silver, D., Rusu, A. A., Veness, J., Bellemare, M. G., ... &amp; Hassabis, D. (2015). Human-level Control through Deep Reinforcement Learning. Nature, 518, 529-533.</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9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Schulman, J., Wolski, F., Dhariwal, P., Radford, A., &amp; Klimov, O. (2017). Proximal Policy Optimization Algorithms. arXiv preprint arXiv:1707.06347.</w:t>
            </w:r>
          </w:p>
        </w:tc>
      </w:tr>
      <w:tr>
        <w:tc>
          <w:tcPr>
            <w:tcW w:type="dxa" w:w="9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9100"/>
            <w:tcBorders>
              <w:top w:val="single" w:color="BBBBBB" w:sz="4"/>
              <w:left w:val="single" w:color="BBBBBB" w:sz="4"/>
              <w:bottom w:val="single" w:color="BBBBBB" w:sz="4"/>
              <w:right w:val="single" w:color="BBBBBB" w:sz="4"/>
            </w:tcBorders>
            <w:shd w:fill="EBF3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Baum, Y., Amico, M., Howell, S., Hush, M., Chernyavsky, M., Kohler, T., ... &amp; Genest, C. (2021). Experimental Deep Reinforcement Learning for Error-Robust Gate-Set Design. PRX Quantum, 2, 040324.</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2E74B5"/>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2026-06-07T00:39:35.215Z</dcterms:created>
  <dcterms:modified xsi:type="dcterms:W3CDTF">2026-06-07T00:39:35.215Z</dcterms:modified>
</cp:coreProperties>
</file>

<file path=docProps/custom.xml><?xml version="1.0" encoding="utf-8"?>
<Properties xmlns="http://schemas.openxmlformats.org/officeDocument/2006/custom-properties" xmlns:vt="http://schemas.openxmlformats.org/officeDocument/2006/docPropsVTypes"/>
</file>