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44"/>
          <w:szCs w:val="44"/>
        </w:rPr>
        <w:t xml:space="preserve">PROJECT STATUS REPORT</w:t>
      </w:r>
    </w:p>
    <w:p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 xml:space="preserve">Autonomous Reinforcement Learning for Resonator Calibration:</w:t>
      </w:r>
    </w:p>
    <w:p>
      <w:pPr>
        <w:spacing w:after="400"/>
        <w:jc w:val="center"/>
      </w:pPr>
      <w:r>
        <w:rPr>
          <w:b/>
          <w:bCs/>
          <w:color w:val="2E74B5"/>
          <w:sz w:val="26"/>
          <w:szCs w:val="26"/>
        </w:rPr>
        <w:t xml:space="preserve">A Quantum-Inspired Control System (QRC / ARCS)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Resumption Checkpoint — Prepared after a 2-Month Pause</w:t>
      </w:r>
    </w:p>
    <w:p>
      <w:pPr>
        <w:spacing w:after="400"/>
        <w:jc w:val="center"/>
      </w:pPr>
      <w:r>
        <w:rPr>
          <w:color w:val="595959"/>
          <w:sz w:val="21"/>
          <w:szCs w:val="21"/>
        </w:rPr>
        <w:t xml:space="preserve">Date: 13 July 2026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22ET49  |  AY 2025–26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Dayananda Sagar College of Engineering (DSCE), Bangalore — VTU Affiliation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 and Telecommunication Engineering — 4th Semester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Akash Kishore (1DS24ET012)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Aadidev Raja K, Adithi H P, Akash Kishore, Khushi Patil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Guide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Dr. Jugul Kishore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 Access (Q2) — publication-quality target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sz w:val="21"/>
          <w:szCs w:val="21"/>
        </w:rPr>
        <w:t xml:space="preserve">This report re-establishes full project context after a two-month pause. It separates completed, locked deliverables from open work, and adds a dedicated software fine-tuning section — recommendations only, none of which touch the locked V4 result.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1.1 Where the project stands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RL simulation (core deliverable): COMPLETE and LOCKED. V4 Seed 3 is the authoritative model.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QACT (Qiskit Aer Quantum Agent Control Test): FORMALLY STOPPED with a documented sim-to-real result.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Analog simulation (LTSpice): COMPLETE for Stages 1, 3, and 4 (one caveat noted on Stage 4).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Digital simulation (Wokwi, replacing Proteus 8.5): PENDING — Stages 2 (DAC) and 5 (ADC) not yet built.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Physical hardware: NOT STARTED. Two procurement blockers remain outstanding.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Academic paper: NOT STARTED — drafting depends on hardware/HIL results for the full sim-to-real narrative.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1.2 Reading this document</w:t>
      </w:r>
    </w:p>
    <w:p>
      <w:pPr>
        <w:spacing w:after="160" w:line="300"/>
      </w:pPr>
      <w:r>
        <w:rPr>
          <w:sz w:val="21"/>
          <w:szCs w:val="21"/>
        </w:rPr>
        <w:t xml:space="preserve">Section 2 is a scoreboard of every workstream. Section 3 details what is fully finished and why it is locked. Section 4 details everything still open, in priority order. Section 5 — the section you specifically asked for — lays out software fine-tuning options for the RL/QACT stack, framed as future-work improvements for the paper, not retroactive changes to V4 Seed 3. Section 6 covers hardware and procurement. Section 7 is the phase-by-phase integration roadmap. Section 8 recaps the key technical lessons learned so far. Section 9 is an immediate-action checklist to restart the project this week.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Status Scoreboard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Result / Blocker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 Simulation (PPO)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 Seed 3: MAE 1510 ± 367 Hz, 94.8% near-resonance (Gaussian drift)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QACT (Qiskit Aer)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STOPPED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 final: MAE 3237 ± 4581 Hz, 34.3% near-resonance (~55% rel. improvement over 22.1% baseline)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LTSpice — Stage 1 (Power)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AMS1117 rail confirmed at 3.30073 V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LTSpice — Stage 3 (Resonator)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f0 = 555.61 kHz, Lorentzian peak confirmed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LTSpice — Stage 4 (Envelope Detector)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COMPLETE*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*Op-amp supply wiring caveat noted — verify before hardware build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Wokwi — Stage 2 (DAC, MCP4921)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PENDING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 native Wokwi part — raw SPI.h + transfer16() approach identified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Wokwi — Stage 5 (ADC, MCP3202)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PENDING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 native Wokwi part — SPI approach still to be worked out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Procurement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BLOCKED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BB909/MV209 varactor not ordered; 1µF C0G caps for PWM filter out of stock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Breadboard Build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procurement + Wokwi validation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 Access Paper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Waiting on HIL / hardware data for sim-to-real section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Completed and Locked Work</w:t>
      </w:r>
    </w:p>
    <w:p>
      <w:pPr>
        <w:spacing w:after="160" w:line="300"/>
      </w:pPr>
      <w:r>
        <w:rPr>
          <w:sz w:val="21"/>
          <w:szCs w:val="21"/>
        </w:rPr>
        <w:t xml:space="preserve">Everything in this section is under a strict do-not-retrain / do-not-re-simulate policy. Results are considered final for reporting and publication purposes.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3.1 RL Simulation — V4 Seed 3 (Authoritative Model)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Task: PPO agent tracks the resonant frequency of a classical LC resonator (~556 kHz) using amplitude feedback only — no direct frequency measurement, mirroring superconducting-qubit calibration constraints.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Result: MAE 1510 ± 367 Hz, 94.8% near-resonance fraction under Gaussian drift.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V4 statistically outperforms V3 and the PID baseline under Mann–Whitney U testing for the Gaussian drift regime (p &lt; 0.001).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Under the Ornstein–Uhlenbeck (OU) drift regime, the V4 vs. PID difference was not statistically significant — flagged for the fine-tuning discussion in Section 5.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Verification method: numeric MAE was cross-checked against visual trajectory inspection (agent path vs. reference) to rule out degenerate static policies that can otherwise inflate apparent accuracy.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3.2 QACT — Qiskit Aer Quantum Agent Control Test (Stopped)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Final released version: QACT v5.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Result: MAE 3237 ± 4581 Hz, 34.3% near-resonance — versus a 22.1% zero-shot baseline, a ~55% relative improvement.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Framing for the paper: this is documented as a sim-to-real transfer data point (classical-sim-trained policy applied to a quantum-simulator environment), not as a failed experiment. The large standard deviation (4581 Hz) is itself evidence worth discussing — see Section 5.4.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Status: formally closed — no further QACT runs are planned inside the current experiment set.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3.3 LTSpice Analog Simulations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Stage 1 — Power Supply (AMS1117-3.3): confirmed output 3.30073 V, within spec.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Stage 3 — LC Resonator: measured resonance f0 = 555.61 kHz with a confirmed Lorentzian response peak, matching the ~556 kHz design target.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Stage 4 — Envelope Detector: simulation complete, but carries an open caveat on op-amp supply wiring that must be re-checked before this stage is trusted on the physical board (see Section 6.3).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Pending Work (Priority Order)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4.1 Wokwi Digital Simulations — Stages 2 &amp; 5 (Highest Priority)</w:t>
      </w:r>
    </w:p>
    <w:p>
      <w:pPr>
        <w:spacing w:after="160" w:line="300"/>
      </w:pPr>
      <w:r>
        <w:rPr>
          <w:sz w:val="21"/>
          <w:szCs w:val="21"/>
        </w:rPr>
        <w:t xml:space="preserve">Proteus 8.5 has been replaced by Wokwi for all digital/microcontroller-side simulation. This is the immediate next task and is the main thing blocking any hardware work.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Stage 2 — DAC (MCP4921, 12-bit SPI)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MCP4921 is not a native Wokwi component — it must be driven manually.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Confirmed approach: use raw Arduino SPI.h with transfer16() rather than the MCP_DAC library, which caused build failures.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Remaining work: build and verify the Wokwi circuit, confirm output waveform against the LTSpice Stage 1/3 expectations, and lock the pin mapping (ESP32 VSPI — SCK=GPIO18, MOSI=GPIO23, CS=GPIO5).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Stage 5 — ADC (MCP3202, 12-bit SPI)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MCP3202 is also not a native Wokwi part; the same raw-SPI strategy should be validated for the read path.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Remaining work: implement and verify SPI read timing on ESP32 HSPI (SCK=GPIO14, MISO=GPIO12, MOSI=GPIO13, CS=GPIO15), and confirm 12-bit resolution is preserved end-to-end.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Suggested acceptance criteria before declaring Stages 2 &amp; 5 done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DAC output settles to the commanded voltage within one PWM/SPI update cycle in simulation.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ADC read-back of a known injected signal matches expected code within ±1 LSB in simulation.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Both stages run concurrently in a single Wokwi sketch without SPI bus contention (VSPI vs. HSPI separation verified).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4.2 Hardware Procurement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BB909 or MV209 varactor diode: not yet ordered. BB135,115 (NXP) is the confirmed locally available substitute if lead time on BB909/MV209 is an issue — do not substitute BB910, which was already identified as the wrong part.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1 µF C0G capacitors for the PWM RC filter: previously out of stock at the primary source (robu.in) — recheck stock or source an alternative C0G-dielectric supplier. X7R is not an acceptable substitute for this or the varactor coupling capacitors.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Recommended action this week: place/confirm both orders in parallel with the Wokwi work so hardware build isn't gated on shipping time later.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4.3 Physical Breadboard Build (Not Started)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Cannot begin until Stages 2 and 5 are validated in Wokwi and both procurement items arrive.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Constraint to respect from day one: 3 cm maximum lead length in the RF path — daisy-chained 400-point breadboards violate this and should not be used for the resonator/RF section.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Re-verify the Stage 4 op-amp supply wiring caveat physically before trusting envelope-detector output on hardware.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4.4 Academic Paper (Not Started)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Drafting is intentionally sequenced after HIL/hardware data becomes available, since the paper's central contribution is the sim-to-real story (V4 simulation → QACT quantum-sim transfer → physical hardware transfer).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Target venue: IEEE Access (Q2). No section drafting, outline, or submission-checklist work has been started yet.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Suggested first step once hardware data exists: build the results/comparison table across all three regimes (V4 sim, QACT sim-to-sim, hardware sim-to-real) before writing prose.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Software Fine-Tuning Opportunities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Important framing: </w:t>
      </w:r>
      <w:r>
        <w:rPr>
          <w:sz w:val="21"/>
          <w:szCs w:val="21"/>
        </w:rPr>
        <w:t xml:space="preserve">V4 Seed 3 is locked and must not be retrained. Everything below is scoped as </w:t>
      </w:r>
      <w:r>
        <w:rPr>
          <w:b/>
          <w:bCs/>
          <w:sz w:val="21"/>
          <w:szCs w:val="21"/>
        </w:rPr>
        <w:t xml:space="preserve">future-work</w:t>
      </w:r>
      <w:r>
        <w:rPr>
          <w:sz w:val="21"/>
          <w:szCs w:val="21"/>
        </w:rPr>
        <w:t xml:space="preserve">, to be run as new, separately labeled experiments (e.g. "V5") if you choose to pursue them — for strengthening the paper's discussion section, addressing the OU-regime null result, and improving the QACT sim-to-real narrative. None of it should overwrite existing results.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5.1 Addressing the OU-Regime Null Result</w:t>
      </w:r>
    </w:p>
    <w:p>
      <w:pPr>
        <w:spacing w:after="160" w:line="300"/>
      </w:pPr>
      <w:r>
        <w:rPr>
          <w:sz w:val="21"/>
          <w:szCs w:val="21"/>
        </w:rPr>
        <w:t xml:space="preserve">V4 beats PID significantly under Gaussian drift but not under Ornstein–Uhlenbeck drift. This is worth investigating rather than leaving as a footnote, since it directly affects how strong a claim the paper can make.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Domain randomization across drift types: train a variant on a curriculum that mixes Gaussian and OU drift per-episode (rather than a single fixed regime), so the policy is not implicitly Gaussian-specialized.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Correlated-noise-aware observation: OU drift has memory (it's a mean-reverting process), so feeding the agent a short history of past amplitude readings (e.g. last 4–8 steps) rather than a single-step observation may let it exploit the correlation structure PID cannot use.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Recurrent policy option: swap the MLP policy for an LSTM/GRU-based PPO policy (RecurrentPPO in sb3-contrib) so the agent carries state across steps — directly relevant since this is a POMDP (no direct frequency access).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Report OU results with the same rigor as Gaussian: effect size (not just p-value), and confidence interval on the MAE gap, so a non-significant result is presented as "no measurable difference from PID here" rather than implying failure.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5.2 Reward Shaping / Degenerate-Policy Guardrails</w:t>
      </w:r>
    </w:p>
    <w:p>
      <w:pPr>
        <w:spacing w:after="160" w:line="300"/>
      </w:pPr>
      <w:r>
        <w:rPr>
          <w:sz w:val="21"/>
          <w:szCs w:val="21"/>
        </w:rPr>
        <w:t xml:space="preserve">The known risk with this task is a static policy that sits near resonance without tracking, which can still score a deceptively good MAE. A few reward-side changes can make this failure mode harder to reach without touching the locked reward used for V4.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Add a small tracking-effort or movement-justified term: reward correct directional movement in response to drift, not just proximity to the setpoint, so a frozen agent is penalized once drift begins.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Penalize action variance floor: a very-low-variance action stream over a rolling window is itself a signal of a degenerate policy and can be down-weighted or logged as a training-time diagnostic, independent of the trajectory-inspection check already in use.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Track "time-to-reacquire" after an induced drift step as a secondary metric alongside MAE — it directly measures tracking behavior and is harder to game with a static policy.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5.3 PPO Hyperparameter Sweep (for a Future V5)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7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Risk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Entropy coefficient (ent_coef)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Premature convergence to a static/degenerate policy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increase or a linear decay schedule (high early, low late) to preserve exploration during the critical early-training window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LR may overshoot once near-optimal behavior is found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or cosine decay schedule instead of a constant rate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n_steps / batch_size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values tuned for Gaussian regime only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Re-sweep jointly if the OU-curriculum change in 5.1 is adopted, since correlated noise changes the useful rollout length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gamma (discount)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under-weight slow OU mean-reversion dynamics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 a slightly higher gamma variant specifically for OU-drift training runs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clip_range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default; not yet identified as an issue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as-is unless the entropy/LR changes destabilize training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As with V4, any new sweep should be run across multiple seeds (V4 used Seed 3 as the reported seed) so seed variance is reported alongside the mean, and should go through the same visual-trajectory verification step before trusting the MAE number.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5.4 QACT Sim-to-Real Transfer Improvements</w:t>
      </w:r>
    </w:p>
    <w:p>
      <w:pPr>
        <w:spacing w:after="160" w:line="300"/>
      </w:pPr>
      <w:r>
        <w:rPr>
          <w:sz w:val="21"/>
          <w:szCs w:val="21"/>
        </w:rPr>
        <w:t xml:space="preserve">QACT v5's large standard deviation (4581 Hz against a 3237 Hz mean) suggests the policy is inconsistent across episodes rather than uniformly mediocre — this is a useful diagnostic, not just noise.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Break down the 4581 Hz standard deviation by episode: if a subset of episodes drive most of the variance, that points to specific quantum-sim conditions (e.g. certain drift phases or noise realizations) where transfer fails, which is a much stronger paper finding than a single aggregate number.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Action and observation noise injection during the original classical training (for any future V5) would directly target sim-to-real/sim-to-sim robustness — training with synthetic sensor noise and actuator jitter tends to narrow exactly this kind of variance gap.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Domain randomization on resonator Q-factor / damping during classical training, so the policy has seen a range of dynamics rather than a single fixed LC response, which should help it generalize into the quantum-simulator dynamics.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Since QACT is formally stopped, none of this should reopen QACT itself — it should instead inform the training recipe used for the hardware-facing HIL fine-tuning stage described in Section 7 (Phase 4).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5.5 Observation / Normalization Hygiene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VecNormalize running statistics: confirm the saved normalization statistics from V4 training are frozen and shipped alongside the policy weights for any deployment or evaluation — a mismatch here silently degrades performance without changing the model file.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When Stage 2/5 hardware-in-the-loop data starts arriving, budget time to characterize real ADC/DAC quantization noise so it can be matched in the simulation observation space for future fine-tuning — real 12-bit SPI noise will not exactly match the simulation's assumed noise model.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5.6 Evaluation Protocol Hardening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Continue the established rule: never accept a new MAE number without the paired trajectory plot (agent vs. reference line) — this is already a proven safeguard and should be written into the paper's methodology section as a stated practice, not just an internal habit.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Add a standard secondary metric set for any future runs: near-resonance fraction (already used), time-to-reacquire after drift, and action-variance floor (Section 5.2) — reporting all three make it much harder for a future degenerate policy to slip through unnoticed.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Keep the Gemini-implementation cross-check in place: continue diagnosing unauthorized parameter drift (omega_rabi, action_scale, ema_alpha have all recurred before) from trajectory analysis before accepting any new result as valid.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Hardware Status and Component Reference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6.1 Confirmed Bill of Materials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controller. VSPI (DAC): SCK=GPIO18, MOSI=GPIO23, CS=GPIO5. HSPI (ADC): SCK=GPIO14, MISO=GPIO12, MOSI=GPIO13, CS=GPIO15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MCP4921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12-bit SPI DAC — Wokwi Stage 2, pending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MCP3202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12-bit SPI ADC — Wokwi Stage 5, pending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OPA2134UA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Op-amp, SOIC-8 to DIP-8 adapter required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Bourns SRR1280-100M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µH inductor for the LC resonator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BAT54-13-F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Schottky diode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AMS1117-3.3 (×2)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analog and digital rail regulators — Stage 1 confirmed in LTSpice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BB909 / MV209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Varactor diode — NOT YET ORDERED. Substitute: BB135,115 (NXP). Do not use BB910.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µF capacitors (C0G)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PWM RC filter — PREVIOUSLY OUT OF STOCK, recheck sourcing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6.2 Design Rules to Enforce During Build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C0G dielectric is mandatory for the LP filter and varactor coupling capacitors — X7R is explicitly prohibited due to its voltage/temperature-dependent capacitance.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3 cm maximum lead length in the RF path — a daisy-chained run of 400-point breadboards will violate this; plan the physical layout around it before starting the build.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Keep analog and digital supply rails on their separate AMS1117-3.3 regulators as designed — do not consolidate onto one rail during bring-up.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6.3 Open Caveat to Resolve Before Build</w:t>
      </w:r>
    </w:p>
    <w:p>
      <w:pPr>
        <w:spacing w:after="160" w:line="300"/>
      </w:pPr>
      <w:r>
        <w:rPr>
          <w:sz w:val="21"/>
          <w:szCs w:val="21"/>
        </w:rPr>
        <w:t xml:space="preserve">Stage 4's LTSpice simulation is complete but flagged with an op-amp supply wiring caveat. Before trusting this stage on hardware, re-derive and re-check the OPA2134UA supply connections against the Stage 4 schematic — this is a five-minute check that should happen before any solder touches the board.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Hardware Integration Roadmap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validation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Wokwi Stages 2 &amp; 5 complete + components procured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identification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board bring-up and Stage 4 caveat resolved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HIL dataset collection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identified system parameters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Sim-to-real fine-tuning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dataset; informed by Section 5.4 recommendations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Closed-loop deployment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 fine-tuned policy validated on hardware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Current position: pre-Phase 1, blocked on Wokwi Stages 2/5 and the two procurement items in Section 6.1.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Key Lessons Learned So Far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MAE alone is not a reliable tracking-quality indicator — a degenerate static policy can score a misleadingly good MAE; visual trajectory inspection (agent vs. reference line) is a required check, not an optional one.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Unauthorized parameter drift is a recurring risk when a second LLM (Gemini) implements code changes — omega_rabi, action_scale, and ema_alpha have all been silently altered before. Every Gemini-implemented change should be diffed and diagnosed via trajectory analysis before acceptance.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All completed experiment results are locked under a strict do-not-retrain policy — this report's Section 5 recommendations are explicitly future-work, not modifications to V4 Seed 3.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On Windows, placing CUDA verification gates at module top-level breaks SubprocVecEnv workers under spawn-based multiprocessing; the fix is moving such checks inside the training function — already applied and confirmed working.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Wokwi requires raw SPI.h with transfer16() for the MCP4921, since the MCP_DAC external library caused build failures — apply the same raw-SPI approach as the starting point for the MCP3202 ADC stage.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C0G dielectric is mandatory for RF-adjacent capacitors in this design; X7R is not an acceptable substitute despite being more commonly stocked.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BB910 is the wrong varactor part number for this design — BB909 or MV209 is correct, with BB135,115 (NXP) as the confirmed local substitute.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Immediate Next Steps (This Week)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1. Re-open the Wokwi workspace and start Stage 2 (MCP4921 DAC) using the raw SPI.h + transfer16() approach already identified.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2. Build Stage 5 (MCP3202 ADC) on HSPI once Stage 2 is verified, and confirm no VSPI/HSPI bus contention when both run together.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3. Re-check stock for BB909/MV209 (or confirm BB135,115 substitute) and 1 µF C0G capacitors at robu.in; place both orders in parallel with the Wokwi work.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4. Re-derive the Stage 4 op-amp supply wiring in LTSpice to close out the outstanding caveat before any physical build begins.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5. Decide whether to pursue any Section 5 fine-tuning experiments (e.g. an OU-curriculum V5) as parallel background work, or defer all software work until after hardware Phase 1–3, given V4/QACT are already locked and complete.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6. Once Wokwi and procurement are both clear, begin Phase 1 (circuit validation) per the Section 7 roadmap.</w:t>
      </w:r>
    </w:p>
    <w:p>
      <w:pPr>
        <w:spacing w:after="0" w:before="300"/>
      </w:pPr>
      <w:r>
        <w:rPr>
          <w:b/>
          <w:bCs/>
          <w:color w:val="1F3864"/>
          <w:sz w:val="21"/>
          <w:szCs w:val="21"/>
        </w:rPr>
        <w:t xml:space="preserve">End of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2026-07-13T00:04:45.088Z</dcterms:created>
  <dcterms:modified xsi:type="dcterms:W3CDTF">2026-07-13T00:04:45.104Z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