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pPr>
      <w:r>
        <w:t xml:space="preserve"/>
      </w:r>
    </w:p>
    <w:p>
      <w:pPr>
        <w:spacing w:after="60" w:before="60" w:line="280"/>
      </w:pPr>
      <w:r>
        <w:t xml:space="preserve"/>
      </w:r>
    </w:p>
    <w:p>
      <w:pPr>
        <w:spacing w:after="160" w:before="480"/>
        <w:jc w:val="center"/>
      </w:pPr>
      <w:r>
        <w:rPr>
          <w:rFonts w:ascii="Arial" w:cs="Arial" w:eastAsia="Arial" w:hAnsi="Arial"/>
          <w:b/>
          <w:bCs/>
          <w:color w:val="1F3864"/>
          <w:sz w:val="52"/>
          <w:szCs w:val="52"/>
        </w:rPr>
        <w:t xml:space="preserve">Target Journal Guide</w:t>
      </w:r>
    </w:p>
    <w:p>
      <w:pPr>
        <w:spacing w:after="120" w:before="0"/>
        <w:jc w:val="center"/>
      </w:pPr>
      <w:r>
        <w:rPr>
          <w:rFonts w:ascii="Arial" w:cs="Arial" w:eastAsia="Arial" w:hAnsi="Arial"/>
          <w:i/>
          <w:iCs/>
          <w:color w:val="2E4A7A"/>
          <w:sz w:val="26"/>
          <w:szCs w:val="26"/>
        </w:rPr>
        <w:t xml:space="preserve">Q1 and Q2 Publication Venues for RL-Based Quantum Control Research</w:t>
      </w:r>
    </w:p>
    <w:p>
      <w:pPr>
        <w:spacing w:after="400" w:before="0"/>
        <w:jc w:val="center"/>
      </w:pPr>
      <w:r>
        <w:rPr>
          <w:rFonts w:ascii="Arial" w:cs="Arial" w:eastAsia="Arial" w:hAnsi="Arial"/>
          <w:color w:val="555555"/>
          <w:sz w:val="20"/>
          <w:szCs w:val="20"/>
        </w:rPr>
        <w:t xml:space="preserve">Ranked by Suitability  |  With Rationale, Likelihood, and Submission Advice</w:t>
      </w:r>
    </w:p>
    <w:p>
      <w:pPr>
        <w:spacing w:after="60" w:before="60" w:line="280"/>
      </w:pPr>
      <w:r>
        <w:t xml:space="preserve"/>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1. Overview — What Determines Suitability</w:t>
      </w:r>
    </w:p>
    <w:p>
      <w:pPr>
        <w:spacing w:after="80" w:before="80" w:line="280"/>
      </w:pPr>
      <w:r>
        <w:rPr>
          <w:rFonts w:ascii="Arial" w:cs="Arial" w:eastAsia="Arial" w:hAnsi="Arial"/>
          <w:sz w:val="22"/>
          <w:szCs w:val="22"/>
        </w:rPr>
        <w:t xml:space="preserve">Five factors determine which journal is the best fit: (1) scope match — does the journal publish at the intersection of RL and quantum/physical systems; (2) article length — some journals have strict word limits incompatible with the methodology depth; (3) acceptance rate — relates to competition for space; (4) review speed — important for a student project with a deadline; (5) open access requirements — institutional or funding requirements.</w:t>
      </w:r>
    </w:p>
    <w:p>
      <w:pPr>
        <w:spacing w:after="60" w:before="60" w:line="280"/>
      </w:pPr>
      <w:r>
        <w:t xml:space="preserve"/>
      </w:r>
    </w:p>
    <w:p>
      <w:pPr>
        <w:spacing w:after="80" w:before="80" w:line="280"/>
      </w:pPr>
      <w:r>
        <w:rPr>
          <w:rFonts w:ascii="Arial" w:cs="Arial" w:eastAsia="Arial" w:hAnsi="Arial"/>
          <w:sz w:val="22"/>
          <w:szCs w:val="22"/>
        </w:rPr>
        <w:t xml:space="preserve">The assessment of publication likelihood is based on three conditions that must ALL be true for acceptance: (a) the classical simulation results (V1-V4 ablation, PID baseline, Mann-Whitney, dual noise) are complete and correct — they are; (b) the paper is framed honestly (Qiskit as preliminary investigation, not 'demonstrated quantum deployment') — achievable; (c) the writing is IEEE-standard clear with proper citations — requires work.</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2. Q2 Journals — Recommended Primary Targets</w:t>
      </w:r>
    </w:p>
    <w:p>
      <w:pPr>
        <w:pStyle w:val="Heading2"/>
        <w:spacing w:after="80" w:before="260" w:line="280"/>
      </w:pPr>
      <w:r>
        <w:rPr>
          <w:rFonts w:ascii="Arial" w:cs="Arial" w:eastAsia="Arial" w:hAnsi="Arial"/>
          <w:b/>
          <w:bCs/>
          <w:color w:val="2E4A7A"/>
          <w:sz w:val="26"/>
          <w:szCs w:val="26"/>
        </w:rPr>
        <w:t xml:space="preserve">Journal 1: IEEE Access</w:t>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IEEE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Tier</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Q2 (Scimago), Impact Factor ~3.9 (2024)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Multidisciplinary engineering and applied science, all IEEE fields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Article length</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 strict limit — 8-20 pages typical for RL/control papers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Acceptance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(broad scope absorbs more submissions)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Review speed</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~6-12 weeks typical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access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Mandatory (Article Processing Charge ~$1,950 USD — check institutional waiver)</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Indexing</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Scopus, Web of Science, SCIE</w:t>
            </w:r>
          </w:p>
        </w:tc>
      </w:tr>
    </w:tbl>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Why IEEE Access Is the Best Primary Target</w:t>
      </w:r>
    </w:p>
    <w:p>
      <w:pPr>
        <w:spacing w:after="80" w:before="80" w:line="280"/>
      </w:pPr>
      <w:r>
        <w:rPr>
          <w:rFonts w:ascii="Arial" w:cs="Arial" w:eastAsia="Arial" w:hAnsi="Arial"/>
          <w:sz w:val="22"/>
          <w:szCs w:val="22"/>
        </w:rPr>
        <w:t xml:space="preserve">IEEE Access explicitly targets interdisciplinary papers that would not fit cleanly into a single-domain IEEE journal. A paper combining classical electronics (LC resonator), machine learning (PPO), and quantum analogue systems is exactly the profile IEEE Access was designed for. The broad scope means reviewers are less likely to demand deep quantum hardware expertise. The 30% acceptance rate is high by IEEE standards.</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Submission Strategy</w:t>
      </w:r>
    </w:p>
    <w:p>
      <w:pPr>
        <w:spacing w:after="80" w:before="80" w:line="280"/>
      </w:pPr>
      <w:r>
        <w:rPr>
          <w:rFonts w:ascii="Arial" w:cs="Arial" w:eastAsia="Arial" w:hAnsi="Arial"/>
          <w:sz w:val="22"/>
          <w:szCs w:val="22"/>
        </w:rPr>
        <w:t xml:space="preserve">Frame the paper around the control systems and machine learning contribution, with quantum analogue as the application domain. Keywords: adaptive control, reinforcement learning, frequency tracking, observation space design, Lorentzian resonance, noise robustness. The quantum hardware calibration connection is motivation, not the core claim.</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Publication Likelihood</w:t>
      </w:r>
    </w:p>
    <w:p>
      <w:pPr>
        <w:pBdr>
          <w:left w:val="single" w:color="1A7A4A" w:sz="14" w:space="4"/>
        </w:pBdr>
        <w:spacing w:after="100" w:before="100" w:line="280"/>
        <w:ind w:left="360"/>
      </w:pPr>
      <w:r>
        <w:rPr>
          <w:rFonts w:ascii="Arial" w:cs="Arial" w:eastAsia="Arial" w:hAnsi="Arial"/>
          <w:i/>
          <w:iCs/>
          <w:color w:val="1A5C38"/>
          <w:sz w:val="20"/>
          <w:szCs w:val="20"/>
        </w:rPr>
        <w:t xml:space="preserve">HIGH (60-70% with classical results alone; 75-80% with Qiskit QACT results above 55% near-resonance)</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Journal 2: IEEE Signal Processing Letters</w:t>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IEEE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Tier</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Q2, Impact Factor ~3.9 (2024)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contributions to signal processing — quick communications format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Article length</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Strictly 5 pages (plus 1 page for references)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Acceptance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~20-25%</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Review speed</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~6-8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access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(hybrid journal)</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Indexing</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SCIE, Scopus</w:t>
            </w:r>
          </w:p>
        </w:tc>
      </w:tr>
    </w:tbl>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Why IEEE SPL Fits</w:t>
      </w:r>
    </w:p>
    <w:p>
      <w:pPr>
        <w:spacing w:after="80" w:before="80" w:line="280"/>
      </w:pPr>
      <w:r>
        <w:rPr>
          <w:rFonts w:ascii="Arial" w:cs="Arial" w:eastAsia="Arial" w:hAnsi="Arial"/>
          <w:sz w:val="22"/>
          <w:szCs w:val="22"/>
        </w:rPr>
        <w:t xml:space="preserve">The resonator frequency tracking problem is fundamentally a signal processing problem: the agent processes an amplitude signal, infers directional information from its temporal structure, and produces a corrective frequency action. The amp_gradient observation element is a signal processing concept — it is a numerical derivative estimation of the Lorentzian response. IEEE SPL publishes short, high-impact letters and has published RL-based signal processing papers.</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Submission Strategy</w:t>
      </w:r>
    </w:p>
    <w:p>
      <w:pPr>
        <w:spacing w:after="80" w:before="80" w:line="280"/>
      </w:pPr>
      <w:r>
        <w:rPr>
          <w:rFonts w:ascii="Arial" w:cs="Arial" w:eastAsia="Arial" w:hAnsi="Arial"/>
          <w:sz w:val="22"/>
          <w:szCs w:val="22"/>
        </w:rPr>
        <w:t xml:space="preserve">Compress to 5 pages. Lead with the gradient term as a signal processing design choice. Remove Qiskit section entirely or reduce to one paragraph of future work. Focus the results on the MAE vs PID comparison and the Mann-Whitney significance. This is achievable.</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Publication Likelihood</w:t>
      </w:r>
    </w:p>
    <w:p>
      <w:pPr>
        <w:pBdr>
          <w:left w:val="single" w:color="1A7A4A" w:sz="14" w:space="4"/>
        </w:pBdr>
        <w:spacing w:after="100" w:before="100" w:line="280"/>
        <w:ind w:left="360"/>
      </w:pPr>
      <w:r>
        <w:rPr>
          <w:rFonts w:ascii="Arial" w:cs="Arial" w:eastAsia="Arial" w:hAnsi="Arial"/>
          <w:i/>
          <w:iCs/>
          <w:color w:val="1A5C38"/>
          <w:sz w:val="20"/>
          <w:szCs w:val="20"/>
        </w:rPr>
        <w:t xml:space="preserve">MEDIUM-HIGH (50-60% — length constraint is achievable, but reviewers may request hardware validation)</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Journal 3: IEEE Transactions on Instrumentation and Measurement</w:t>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IEEE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Tier</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Q2, Impact Factor ~5.6 (2024)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Measurement science, sensing, instrumentation, intelligent measurement systems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Article length</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8-12 pages typical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Acceptance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Review speed</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~8-12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access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(hybrid)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Indexing</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SCIE, Scopus</w:t>
            </w:r>
          </w:p>
        </w:tc>
      </w:tr>
    </w:tbl>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Why TIM Fits</w:t>
      </w:r>
    </w:p>
    <w:p>
      <w:pPr>
        <w:spacing w:after="80" w:before="80" w:line="280"/>
      </w:pPr>
      <w:r>
        <w:rPr>
          <w:rFonts w:ascii="Arial" w:cs="Arial" w:eastAsia="Arial" w:hAnsi="Arial"/>
          <w:sz w:val="22"/>
          <w:szCs w:val="22"/>
        </w:rPr>
        <w:t xml:space="preserve">The envelope detector, ADC oversampling, and amplitude measurement pipeline are instrumentation contributions. The resonator calibration problem is a measurement problem: the system must infer an unobservable parameter (f0) from indirect measurements (amplitude). The RL agent is framed as an intelligent measurement system for autonomous calibration. TIM has published adaptive control and intelligent instrumentation papers extensively.</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Publication Likelihood</w:t>
      </w:r>
    </w:p>
    <w:p>
      <w:pPr>
        <w:pBdr>
          <w:left w:val="single" w:color="1A7A4A" w:sz="14" w:space="4"/>
        </w:pBdr>
        <w:spacing w:after="100" w:before="100" w:line="280"/>
        <w:ind w:left="360"/>
      </w:pPr>
      <w:r>
        <w:rPr>
          <w:rFonts w:ascii="Arial" w:cs="Arial" w:eastAsia="Arial" w:hAnsi="Arial"/>
          <w:i/>
          <w:iCs/>
          <w:color w:val="1A5C38"/>
          <w:sz w:val="20"/>
          <w:szCs w:val="20"/>
        </w:rPr>
        <w:t xml:space="preserve">MEDIUM (45-55% — needs hardware results for full instrumentation credibility; simulation alone may be viewed as incomplete)</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Journal 4: Measurement Science and Technology (IOP Publishing)</w:t>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IOP Publishing</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Tier</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Q2, Impact Factor ~2.7 (2024)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Instrumentation and measurement — physical systems, sensors, control</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Article length</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8-15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Acceptance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Review speed</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~8-10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access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Hybrid (Gold OA available)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Indexing</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SCIE, Scopus</w:t>
            </w:r>
          </w:p>
        </w:tc>
      </w:tr>
    </w:tbl>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Why MST Fits</w:t>
      </w:r>
    </w:p>
    <w:p>
      <w:pPr>
        <w:spacing w:after="80" w:before="80" w:line="280"/>
      </w:pPr>
      <w:r>
        <w:rPr>
          <w:rFonts w:ascii="Arial" w:cs="Arial" w:eastAsia="Arial" w:hAnsi="Arial"/>
          <w:sz w:val="22"/>
          <w:szCs w:val="22"/>
        </w:rPr>
        <w:t xml:space="preserve">MST's scope explicitly includes sensor calibration, adaptive measurement systems, and intelligent instrumentation. The LC resonator as a calibration testbed fits squarely in MST's tradition of publishing physical measurement systems with intelligent controllers. MST has a higher acceptance rate than IEEE journals and is slightly less competitive, making it a good backup option.</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Publication Likelihood</w:t>
      </w:r>
    </w:p>
    <w:p>
      <w:pPr>
        <w:pBdr>
          <w:left w:val="single" w:color="1A7A4A" w:sz="14" w:space="4"/>
        </w:pBdr>
        <w:spacing w:after="100" w:before="100" w:line="280"/>
        <w:ind w:left="360"/>
      </w:pPr>
      <w:r>
        <w:rPr>
          <w:rFonts w:ascii="Arial" w:cs="Arial" w:eastAsia="Arial" w:hAnsi="Arial"/>
          <w:i/>
          <w:iCs/>
          <w:color w:val="1A5C38"/>
          <w:sz w:val="20"/>
          <w:szCs w:val="20"/>
        </w:rPr>
        <w:t xml:space="preserve">MEDIUM-HIGH (55-65% — good scope fit, higher acceptance rate than IEEE options)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Journal 5: Electronics Letters (IET)</w:t>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IET / Wiley</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Tier</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Q3 (borderline Q2), Impact Factor ~1.3 (2024)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letters in electronics and electrical engineering</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Article length</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3-4 pages maximum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Acceptance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Review speed</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~4-6 weeks (very fast)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access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Indexing</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SCIE, Scopus</w:t>
            </w:r>
          </w:p>
        </w:tc>
      </w:tr>
    </w:tbl>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Electronics Letters is included as a fast-track option for a conference proceedings-style publication if the timeline is tight. Not ideal for showcasing the full methodology depth, but a legitimate Q2-adjacent venue for a compressed version.</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3. Q1 Journals — Aspirational Targets (with Conditions)</w:t>
      </w:r>
    </w:p>
    <w:p>
      <w:pPr>
        <w:pStyle w:val="Heading2"/>
        <w:spacing w:after="80" w:before="260" w:line="280"/>
      </w:pPr>
      <w:r>
        <w:rPr>
          <w:rFonts w:ascii="Arial" w:cs="Arial" w:eastAsia="Arial" w:hAnsi="Arial"/>
          <w:b/>
          <w:bCs/>
          <w:color w:val="2E4A7A"/>
          <w:sz w:val="26"/>
          <w:szCs w:val="26"/>
        </w:rPr>
        <w:t xml:space="preserve">Journal 6: npj Quantum Information (Nature Research)</w:t>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Springer Nature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Tier</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Q1, Impact Factor ~6.6 (2024)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Quantum information science — theory, experiment, technology</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Article length</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~8-12 pages plus supplementary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Acceptance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~15-20%</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Review speed</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~12-16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access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Mandatory Gold OA (APC ~$3,290 USD)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Indexing</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SCIE, Scopus, Nature Index</w:t>
            </w:r>
          </w:p>
        </w:tc>
      </w:tr>
    </w:tbl>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Why npj QI Is Relevant</w:t>
      </w:r>
    </w:p>
    <w:p>
      <w:pPr>
        <w:spacing w:after="80" w:before="80" w:line="280"/>
      </w:pPr>
      <w:r>
        <w:rPr>
          <w:rFonts w:ascii="Arial" w:cs="Arial" w:eastAsia="Arial" w:hAnsi="Arial"/>
          <w:sz w:val="22"/>
          <w:szCs w:val="22"/>
        </w:rPr>
        <w:t xml:space="preserve">npj QI has published both Niu et al. (2019) and Nguyen et al. (2021) — directly comparable works. The journal explicitly welcomes quantum-adjacent interdisciplinary work with demonstrated quantum relevance. The Qiskit Aer study and the physical Lorentzian–Rabi isomorphism are strong motivations for quantum framing.</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Conditions for Submission</w:t>
      </w:r>
    </w:p>
    <w:p>
      <w:pPr>
        <w:pBdr>
          <w:left w:val="single" w:color="C0392B" w:sz="14" w:space="4"/>
        </w:pBdr>
        <w:spacing w:after="100" w:before="100" w:line="280"/>
        <w:ind w:left="360"/>
      </w:pPr>
      <w:r>
        <w:rPr>
          <w:rFonts w:ascii="Arial" w:cs="Arial" w:eastAsia="Arial" w:hAnsi="Arial"/>
          <w:i/>
          <w:iCs/>
          <w:color w:val="C0392B"/>
          <w:sz w:val="20"/>
          <w:szCs w:val="20"/>
        </w:rPr>
        <w:t xml:space="preserve">Do NOT submit to npj QI without completing at least one of: (a) physical hardware deployment results, OR (b) Qiskit QACT near-resonance above 70%. With current results (Qiskit 30.8%), npj QI will desk-reject. The classical simulation results alone are insufficient for a purely quantum journal.</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Publication Likelihood</w:t>
      </w:r>
    </w:p>
    <w:p>
      <w:pPr>
        <w:spacing w:after="80" w:before="80" w:line="280"/>
      </w:pPr>
      <w:r>
        <w:rPr>
          <w:rFonts w:ascii="Arial" w:cs="Arial" w:eastAsia="Arial" w:hAnsi="Arial"/>
          <w:sz w:val="22"/>
          <w:szCs w:val="22"/>
        </w:rPr>
        <w:t xml:space="preserve">LOW (15-20%) with hardware results. VERY LOW (5-10%) without hardware. Conditional: achievable as a long-term target after physical hardware deployment.</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Journal 7: Physical Review Applied (APS)</w:t>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American Physical Society (APS)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Tier</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Q1, Impact Factor ~4.4 (2024)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Applied physics — devices, materials, systems with clear physical applications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Article length</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~8-15 pages plus supplemental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Acceptance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~25-30%</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Review speed</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~10-14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access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(hybrid)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Indexing</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SCIE, Scopus, APS journals</w:t>
            </w:r>
          </w:p>
        </w:tc>
      </w:tr>
    </w:tbl>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Why PRA Applied Fits</w:t>
      </w:r>
    </w:p>
    <w:p>
      <w:pPr>
        <w:spacing w:after="80" w:before="80" w:line="280"/>
      </w:pPr>
      <w:r>
        <w:rPr>
          <w:rFonts w:ascii="Arial" w:cs="Arial" w:eastAsia="Arial" w:hAnsi="Arial"/>
          <w:sz w:val="22"/>
          <w:szCs w:val="22"/>
        </w:rPr>
        <w:t xml:space="preserve">PRA Applied has published RL-for-quantum papers including readout optimisation and qubit control. The journal welcomes demonstration papers with physical systems — not just theory. The LC resonator circuit is a physical system, and the envelope detector + DAC signal chain is applied physics.</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Conditions for Submission</w:t>
      </w:r>
    </w:p>
    <w:p>
      <w:pPr>
        <w:spacing w:after="80" w:before="80" w:line="280"/>
      </w:pPr>
      <w:r>
        <w:rPr>
          <w:rFonts w:ascii="Arial" w:cs="Arial" w:eastAsia="Arial" w:hAnsi="Arial"/>
          <w:sz w:val="22"/>
          <w:szCs w:val="22"/>
        </w:rPr>
        <w:t xml:space="preserve">Submission to PRA Applied requires the physical hardware results. The circuit design and hardware plan are present, but the experiments are not yet complete. Strong likelihood if hardware deployment achieves 5%+ of near-resonance improvement over open-loop baseline.</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Publication Likelihood</w:t>
      </w:r>
    </w:p>
    <w:p>
      <w:pPr>
        <w:spacing w:after="80" w:before="80" w:line="280"/>
      </w:pPr>
      <w:r>
        <w:rPr>
          <w:rFonts w:ascii="Arial" w:cs="Arial" w:eastAsia="Arial" w:hAnsi="Arial"/>
          <w:sz w:val="22"/>
          <w:szCs w:val="22"/>
        </w:rPr>
        <w:t xml:space="preserve">MEDIUM (35-45%) with hardware results. LOW (10-15%) without.</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Journal 8: IEEE Transactions on Automatic Control</w:t>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IEEE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Tier</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Q1, Impact Factor ~5.2 (2024)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 theory — stability, optimal control, adaptive control, systems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Article length</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12+ pages with proofs typical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Acceptance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Review speed</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~16-24 weeks (slow)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access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(hybrid)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Indexing</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SCIE, Scopus</w:t>
            </w:r>
          </w:p>
        </w:tc>
      </w:tr>
    </w:tbl>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Assessment</w:t>
      </w:r>
    </w:p>
    <w:p>
      <w:pPr>
        <w:pBdr>
          <w:left w:val="single" w:color="C0392B" w:sz="14" w:space="4"/>
        </w:pBdr>
        <w:spacing w:after="100" w:before="100" w:line="280"/>
        <w:ind w:left="360"/>
      </w:pPr>
      <w:r>
        <w:rPr>
          <w:rFonts w:ascii="Arial" w:cs="Arial" w:eastAsia="Arial" w:hAnsi="Arial"/>
          <w:i/>
          <w:iCs/>
          <w:color w:val="C0392B"/>
          <w:sz w:val="20"/>
          <w:szCs w:val="20"/>
        </w:rPr>
        <w:t xml:space="preserve">TAC is primarily a theory journal. RL papers without convergence guarantees or stability proofs are rarely accepted. The work is empirical — no formal stability analysis is provided for the PPO policy. Not recommended unless a theoretical analysis section is added.</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Journal 9: IEEE Transactions on Neural Networks and Learning Systems</w:t>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IEEE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Tier</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Q1, Impact Factor ~10.4 (2024)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Machine learning, neural networks, learning algorithms, applications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Article length</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~10-14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Acceptance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Review speed</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~12-16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access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(hybrid)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Indexing</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SCIE, Scopus</w:t>
            </w:r>
          </w:p>
        </w:tc>
      </w:tr>
    </w:tbl>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Why TNNLS Is Relevant</w:t>
      </w:r>
    </w:p>
    <w:p>
      <w:pPr>
        <w:spacing w:after="80" w:before="80" w:line="280"/>
      </w:pPr>
      <w:r>
        <w:rPr>
          <w:rFonts w:ascii="Arial" w:cs="Arial" w:eastAsia="Arial" w:hAnsi="Arial"/>
          <w:sz w:val="22"/>
          <w:szCs w:val="22"/>
        </w:rPr>
        <w:t xml:space="preserve">TNNLS has an exceptionally high impact factor and is read by the ML community. The observation space ablation (V1-V4) with statistical testing is exactly the type of contribution TNNLS values — it advances understanding of what makes RL work in physical systems. The quantum hardware analogue is an interesting application domain that differentiates the paper from robotics/games work.</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Conditions for Submission</w:t>
      </w:r>
    </w:p>
    <w:p>
      <w:pPr>
        <w:spacing w:after="80" w:before="80" w:line="280"/>
      </w:pPr>
      <w:r>
        <w:rPr>
          <w:rFonts w:ascii="Arial" w:cs="Arial" w:eastAsia="Arial" w:hAnsi="Arial"/>
          <w:sz w:val="22"/>
          <w:szCs w:val="22"/>
        </w:rPr>
        <w:t xml:space="preserve">TNNLS expects methodological novelty in the ML contribution, not just an application. The amp_gradient term and the statistical analysis framework are the methodological contributions. These are sufficient if framed primarily as an RL methodology paper with quantum control as the application.</w:t>
      </w:r>
    </w:p>
    <w:p>
      <w:pPr>
        <w:spacing w:after="60" w:before="60" w:line="280"/>
      </w:pPr>
      <w:r>
        <w:t xml:space="preserve"/>
      </w:r>
    </w:p>
    <w:p>
      <w:pPr>
        <w:pStyle w:val="Heading3"/>
        <w:spacing w:after="60" w:before="180" w:line="280"/>
      </w:pPr>
      <w:r>
        <w:rPr>
          <w:rFonts w:ascii="Arial" w:cs="Arial" w:eastAsia="Arial" w:hAnsi="Arial"/>
          <w:b/>
          <w:bCs/>
          <w:color w:val="374E8A"/>
          <w:sz w:val="24"/>
          <w:szCs w:val="24"/>
        </w:rPr>
        <w:t xml:space="preserve">Publication Likelihood</w:t>
      </w:r>
    </w:p>
    <w:p>
      <w:pPr>
        <w:spacing w:after="80" w:before="80" w:line="280"/>
      </w:pPr>
      <w:r>
        <w:rPr>
          <w:rFonts w:ascii="Arial" w:cs="Arial" w:eastAsia="Arial" w:hAnsi="Arial"/>
          <w:sz w:val="22"/>
          <w:szCs w:val="22"/>
        </w:rPr>
        <w:t xml:space="preserve">MEDIUM (25-35%) — high impact factor means high competition. The interdisciplinary framing distinguishes the work but reviewers may demand more ML novelty.</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4. Recommended Submission Strategy</w:t>
      </w:r>
    </w:p>
    <w:p>
      <w:pPr>
        <w:spacing w:after="80" w:before="80" w:line="280"/>
      </w:pPr>
      <w:r>
        <w:rPr>
          <w:rFonts w:ascii="Arial" w:cs="Arial" w:eastAsia="Arial" w:hAnsi="Arial"/>
          <w:sz w:val="22"/>
          <w:szCs w:val="22"/>
        </w:rPr>
        <w:t xml:space="preserve">Based on current results (classical simulation complete, Qiskit partial), the recommended strategy is a tiered submission plan:</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1000"/>
        <w:gridCol w:w="2000"/>
        <w:gridCol w:w="2400"/>
        <w:gridCol w:w="1600"/>
        <w:gridCol w:w="25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Journal</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IEEE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 results sufficient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 within 4 weeks of paper draft complete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scope fit, highest acceptance rate, no hardware required</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Primary (alt)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IEEE Signal Processing Letters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Compress to 5 pages</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Submit simultaneously if compression is feasible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Faster publication track, high visibility in IEEE community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Measurement Sci. &amp; Tech.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 results sufficient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 if IEEE rejected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 acceptance rate, good instrumentation scope</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Conditional (Q1)</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npj Quantum Info.</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Requires hardware results</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Submit after Phase 5 hardware deployment</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High impact if hardware works; waste of time if not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Conditional (Q1)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IEEE TNNLS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reframing as ML methods paper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 after strengthening ML contribution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IF, but needs more RL methodology novelty</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Conference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IEEE ISCAS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Current results sufficient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Submit to 2026 cycle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Circuit conference, hardware design + RL is perfect fit</w:t>
            </w:r>
          </w:p>
        </w:tc>
      </w:tr>
    </w:tbl>
    <w:p>
      <w:pPr>
        <w:spacing w:after="60" w:before="60" w:line="280"/>
      </w:pPr>
      <w:r>
        <w:t xml:space="preserve"/>
      </w:r>
    </w:p>
    <w:p>
      <w:pPr>
        <w:spacing w:after="80" w:before="80" w:line="280"/>
      </w:pPr>
      <w:r>
        <w:rPr>
          <w:rFonts w:ascii="Arial" w:cs="Arial" w:eastAsia="Arial" w:hAnsi="Arial"/>
          <w:sz w:val="22"/>
          <w:szCs w:val="22"/>
        </w:rPr>
        <w:t xml:space="preserve">Note on simultaneous submission: IEEE allows simultaneous submission to a conference (ISCAS) and a journal (IEEE Access) as long as the journal version is substantially expanded beyond the conference version (typically &gt; 30% new content). Consider submitting a compressed version to ISCAS while developing the full journal version.</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5. How to Frame the QACT Partial Results for Q1 Submission</w:t>
      </w:r>
    </w:p>
    <w:p>
      <w:pPr>
        <w:spacing w:after="80" w:before="80" w:line="280"/>
      </w:pPr>
      <w:r>
        <w:rPr>
          <w:rFonts w:ascii="Arial" w:cs="Arial" w:eastAsia="Arial" w:hAnsi="Arial"/>
          <w:sz w:val="22"/>
          <w:szCs w:val="22"/>
        </w:rPr>
        <w:t xml:space="preserve">If you choose to target Q1 journals in the future, the Qiskit work must be framed very precisely. The following framing has been used successfully in similar partial-results papers:</w:t>
      </w:r>
    </w:p>
    <w:p>
      <w:pPr>
        <w:spacing w:after="60" w:before="60" w:line="280"/>
      </w:pPr>
      <w:r>
        <w:t xml:space="preserve"/>
      </w:r>
    </w:p>
    <w:p>
      <w:pPr>
        <w:pBdr>
          <w:top w:val="single" w:color="2E4A7A" w:sz="3"/>
          <w:bottom w:val="single" w:color="2E4A7A" w:sz="3"/>
          <w:left w:val="single" w:color="2E4A7A" w:sz="3"/>
          <w:right w:val="single" w:color="2E4A7A" w:sz="3"/>
        </w:pBdr>
        <w:shd w:fill="F5F8FF" w:val="clear"/>
        <w:spacing w:after="80" w:before="80" w:line="280"/>
        <w:ind w:left="600"/>
      </w:pPr>
      <w:r>
        <w:rPr>
          <w:rFonts w:ascii="Arial" w:cs="Arial" w:eastAsia="Arial" w:hAnsi="Arial"/>
          <w:i/>
          <w:iCs/>
          <w:color w:val="1A1A2E"/>
          <w:sz w:val="20"/>
          <w:szCs w:val="20"/>
        </w:rPr>
        <w:t xml:space="preserve">We present a preliminary investigation of sim-to-quantum transfer for reinforcement learning-based resonator control. Zero-shot deployment produces performance degradation (near-resonance 22.1% vs 94.8% in classical simulation), which we characterise mechanistically through trajectory analysis, identifying three root causes: distributional mismatch between Gaussian training noise and binomial shot noise; VecNormalize statistics mismatch across environments; and EMA transient bias at episode initialisation. Quantum-aware continued training (QACT) partially closes this gap, and the trajectory-level analysis provides a design framework for future quantum-native RL calibration systems. Full closure of the sim-to-quantum gap, including physical hardware deployment, is reserved for future work.</w:t>
      </w:r>
    </w:p>
    <w:p>
      <w:pPr>
        <w:spacing w:after="60" w:before="60" w:line="280"/>
      </w:pPr>
      <w:r>
        <w:t xml:space="preserve"/>
      </w:r>
    </w:p>
    <w:p>
      <w:pPr>
        <w:spacing w:after="80" w:before="80" w:line="280"/>
      </w:pPr>
      <w:r>
        <w:rPr>
          <w:rFonts w:ascii="Arial" w:cs="Arial" w:eastAsia="Arial" w:hAnsi="Arial"/>
          <w:sz w:val="22"/>
          <w:szCs w:val="22"/>
        </w:rPr>
        <w:t xml:space="preserve">This framing: (1) makes an honest claim about what was achieved; (2) provides a mechanistic contribution (the root cause analysis); (3) motivates future work without overpromising; (4) demonstrates methodological sophistication that distinguishes a science paper from an engineering report. Use this language verbatim or very close to it in the Discussion section of any Q1 submission.</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555555"/>
        <w:sz w:val="18"/>
        <w:szCs w:val="18"/>
      </w:rPr>
      <w:t xml:space="preserve">Target Journals  |  RL Quantum Control &amp; Adaptive Systems  |  Q1 and Q2 Options with Rationale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2026-04-18T01:12:03.016Z</dcterms:created>
  <dcterms:modified xsi:type="dcterms:W3CDTF">2026-04-18T01:12:03.017Z</dcterms:modified>
</cp:coreProperties>
</file>

<file path=docProps/custom.xml><?xml version="1.0" encoding="utf-8"?>
<Properties xmlns="http://schemas.openxmlformats.org/officeDocument/2006/custom-properties" xmlns:vt="http://schemas.openxmlformats.org/officeDocument/2006/docPropsVTypes"/>
</file>