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20" w:before="360"/>
        <w:jc w:val="center"/>
      </w:pPr>
      <w:r>
        <w:rPr>
          <w:rFonts w:ascii="Arial" w:cs="Arial" w:eastAsia="Arial" w:hAnsi="Arial"/>
          <w:b/>
          <w:bCs/>
          <w:color w:val="1F3864"/>
          <w:sz w:val="40"/>
          <w:szCs w:val="40"/>
        </w:rPr>
        <w:t xml:space="preserve">Observation-Space Gradient Augmentation for PPO-Based</w:t>
      </w:r>
    </w:p>
    <w:p>
      <w:pPr>
        <w:spacing w:after="120" w:before="0"/>
        <w:jc w:val="center"/>
      </w:pPr>
      <w:r>
        <w:rPr>
          <w:rFonts w:ascii="Arial" w:cs="Arial" w:eastAsia="Arial" w:hAnsi="Arial"/>
          <w:b/>
          <w:bCs/>
          <w:color w:val="1F3864"/>
          <w:sz w:val="40"/>
          <w:szCs w:val="40"/>
        </w:rPr>
        <w:t xml:space="preserve">Resonator Frequency Tracking: A Classical Analogue</w:t>
      </w:r>
    </w:p>
    <w:p>
      <w:pPr>
        <w:spacing w:after="240" w:before="0"/>
        <w:jc w:val="center"/>
      </w:pPr>
      <w:r>
        <w:rPr>
          <w:rFonts w:ascii="Arial" w:cs="Arial" w:eastAsia="Arial" w:hAnsi="Arial"/>
          <w:b/>
          <w:bCs/>
          <w:color w:val="1F3864"/>
          <w:sz w:val="40"/>
          <w:szCs w:val="40"/>
        </w:rPr>
        <w:t xml:space="preserve">for Quantum Hardware Calibration</w:t>
      </w:r>
    </w:p>
    <w:p>
      <w:pPr>
        <w:spacing w:after="80" w:before="0"/>
        <w:jc w:val="center"/>
      </w:pPr>
      <w:r>
        <w:rPr>
          <w:rFonts w:ascii="Arial" w:cs="Arial" w:eastAsia="Arial" w:hAnsi="Arial"/>
          <w:color w:val="333333"/>
          <w:sz w:val="22"/>
          <w:szCs w:val="22"/>
        </w:rPr>
        <w:t xml:space="preserve">Akash Kishore, Aadidev Raja K, Adithi H P, Khushi Patil</w:t>
      </w:r>
    </w:p>
    <w:p>
      <w:pPr>
        <w:spacing w:after="80" w:before="0"/>
        <w:jc w:val="center"/>
      </w:pPr>
      <w:r>
        <w:rPr>
          <w:rFonts w:ascii="Arial" w:cs="Arial" w:eastAsia="Arial" w:hAnsi="Arial"/>
          <w:i/>
          <w:iCs/>
          <w:color w:val="555555"/>
          <w:sz w:val="20"/>
          <w:szCs w:val="20"/>
        </w:rPr>
        <w:t xml:space="preserve">Department of Electronics and Telecommunication Engineering</w:t>
      </w:r>
    </w:p>
    <w:p>
      <w:pPr>
        <w:spacing w:after="80" w:before="0"/>
        <w:jc w:val="center"/>
      </w:pPr>
      <w:r>
        <w:rPr>
          <w:rFonts w:ascii="Arial" w:cs="Arial" w:eastAsia="Arial" w:hAnsi="Arial"/>
          <w:i/>
          <w:iCs/>
          <w:color w:val="555555"/>
          <w:sz w:val="20"/>
          <w:szCs w:val="20"/>
        </w:rPr>
        <w:t xml:space="preserve">Dayananda Sagar College of Engineering, Bengaluru, India</w:t>
      </w:r>
    </w:p>
    <w:p>
      <w:pPr>
        <w:spacing w:after="80" w:before="0"/>
        <w:jc w:val="center"/>
      </w:pPr>
      <w:r>
        <w:rPr>
          <w:rFonts w:ascii="Arial" w:cs="Arial" w:eastAsia="Arial" w:hAnsi="Arial"/>
          <w:i/>
          <w:iCs/>
          <w:color w:val="555555"/>
          <w:sz w:val="20"/>
          <w:szCs w:val="20"/>
        </w:rPr>
        <w:t xml:space="preserve">Under the guidance of Dr. Jugul Kishore</w:t>
      </w:r>
    </w:p>
    <w:p>
      <w:pPr>
        <w:spacing w:after="240" w:before="0"/>
        <w:jc w:val="center"/>
      </w:pPr>
      <w:r>
        <w:rPr>
          <w:rFonts w:ascii="Arial" w:cs="Arial" w:eastAsia="Arial" w:hAnsi="Arial"/>
          <w:color w:val="888888"/>
          <w:sz w:val="18"/>
          <w:szCs w:val="18"/>
        </w:rPr>
        <w:t xml:space="preserve">Target: IEEE Access (Q2) | IEEE Signal Processing Letters (Q2)</w:t>
      </w:r>
    </w:p>
    <w:p>
      <w:pPr>
        <w:pBdr>
          <w:bottom w:val="single" w:color="DDDDDD" w:sz="3"/>
        </w:pBdr>
        <w:spacing w:after="80" w:before="8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Abstract</w:t>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Autonomous frequency calibration of resonant systems is a critical requirement in quantum computing hardware, where microwave control pulses must continuously track drifting qubit transition frequencies under stochastic environmental perturbations. Classical feedback controllers fail at this task due to a fundamental directional ambiguity in the symmetric Lorentzian amplitude response — amplitude alone cannot indicate which side of the resonance peak the probe frequency occupies. This paper proposes a gradient-augmented observation space for Proximal Policy Optimization (PPO)-based resonator tracking, in which a normalised amplitude gradient term, computed as the change in amplitude divided by the magnitude of the previous frequency step, provides explicit directional information to the RL agent. Using a classical LC resonator with varactor-based frequency drift as a physically accurate analogue of superconducting qubit detuning, we evaluate four observation space variants across two noise regimes (Gaussian random walk and Ornstein-Uhlenbeck) with five independent training seeds and rigorous Mann-Whitney statistical testing. The proposed V4 agent achieves a mean absolute frequency error of 1510 ± 367 Hz and a near-resonance fraction of 94.8% under Gaussian drift, compared to 3333 ± 1932 Hz and 64.5% for the unaugmented V3 baseline (Mann-Whitney p &lt; 0.001) and 3600 ± 5241 Hz and 83.1% for a classical PID controller. The gradient augmentation provides no significant benefit under Ornstein-Uhlenbeck drift (p = 1.000), which is mechanistically attributable to OU's mean-reverting character limiting large detuning excursions. As a preliminary investigation of domain transfer, we deploy the trained agent on a Qiskit Aer quantum circuit simulator, characterise the sim-to-quantum distributional gap, and demonstrate partial recovery through Quantum-Aware Continued Training (QACT). These results establish gradient augmentation as a structurally motivated and statistically validated approach to RL-based frequency tracking, with direct architectural alignment to autonomous quantum hardware calibration pipelines.</w:t>
      </w:r>
    </w:p>
    <w:p>
      <w:pPr>
        <w:spacing w:after="60" w:before="60" w:line="280"/>
      </w:pPr>
      <w:r>
        <w:t xml:space="preserve"/>
      </w:r>
    </w:p>
    <w:p>
      <w:pPr>
        <w:spacing w:after="80" w:before="80" w:line="280"/>
      </w:pPr>
      <w:r>
        <w:rPr>
          <w:rFonts w:ascii="Arial" w:cs="Arial" w:eastAsia="Arial" w:hAnsi="Arial"/>
          <w:sz w:val="22"/>
          <w:szCs w:val="22"/>
        </w:rPr>
        <w:t xml:space="preserve">Index Terms: Reinforcement Learning, Proximal Policy Optimization, LC Resonator, Frequency Tracking, Quantum Hardware Calibration, Observation Space Design, Ornstein-Uhlenbeck Process, Statistical Testing, Qiskit Aer</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I. Introduction</w:t>
      </w:r>
    </w:p>
    <w:p>
      <w:pPr>
        <w:spacing w:after="80" w:before="80" w:line="280"/>
      </w:pPr>
      <w:r>
        <w:rPr>
          <w:rFonts w:ascii="Arial" w:cs="Arial" w:eastAsia="Arial" w:hAnsi="Arial"/>
          <w:sz w:val="22"/>
          <w:szCs w:val="22"/>
        </w:rPr>
        <w:t xml:space="preserve">Modern quantum processors based on superconducting transmon qubits require continuous real-time calibration of microwave control pulses to maintain gate fidelity [CITE: Kelly 2014]. The resonant transition frequencies of these qubits drift over time due to flux noise, charge noise, thermal fluctuations, and material aging, with drift rates typically in the range of kilohertz per second [CITE: Krantz 2019]. At the scale of current quantum processors — hundreds to thousands of qubits — manual or brute-force sweep-based calibration is computationally intractable, motivating the development of autonomous, closed-loop calibration systems that can continuously track these drifting parameters with minimal overhead.</w:t>
      </w:r>
    </w:p>
    <w:p>
      <w:pPr>
        <w:spacing w:after="60" w:before="60" w:line="280"/>
      </w:pPr>
      <w:r>
        <w:t xml:space="preserve"/>
      </w:r>
    </w:p>
    <w:p>
      <w:pPr>
        <w:spacing w:after="80" w:before="80" w:line="280"/>
      </w:pPr>
      <w:r>
        <w:rPr>
          <w:rFonts w:ascii="Arial" w:cs="Arial" w:eastAsia="Arial" w:hAnsi="Arial"/>
          <w:sz w:val="22"/>
          <w:szCs w:val="22"/>
        </w:rPr>
        <w:t xml:space="preserve">The canonical calibration task is structurally equivalent to a continuous-time resonance tracking problem: a control system must adjust a drive frequency to maximise the system's amplitude response without direct access to the resonant frequency. This partial observability is a defining feature of the problem — real quantum hardware does not expose the qubit transition frequency as a directly readable variable, and any calibration system must infer the optimal operating point from input-output amplitude measurements alone.</w:t>
      </w:r>
    </w:p>
    <w:p>
      <w:pPr>
        <w:spacing w:after="60" w:before="60" w:line="280"/>
      </w:pPr>
      <w:r>
        <w:t xml:space="preserve"/>
      </w:r>
    </w:p>
    <w:p>
      <w:pPr>
        <w:spacing w:after="80" w:before="80" w:line="280"/>
      </w:pPr>
      <w:r>
        <w:rPr>
          <w:rFonts w:ascii="Arial" w:cs="Arial" w:eastAsia="Arial" w:hAnsi="Arial"/>
          <w:sz w:val="22"/>
          <w:szCs w:val="22"/>
        </w:rPr>
        <w:t xml:space="preserve">Classical feedback controllers, including proportional-integral-derivative (PID) regulators, face a fundamental structural limitation in this setting. The Lorentzian amplitude response is symmetric about the resonance peak — identical amplitude values are produced at frequencies equally displaced above and below resonance. A PID controller, responding solely to amplitude error, cannot determine the direction of the frequency error and is therefore prone to episodic failure when drift carries the probe frequency past the resonance peak and the controller continues pushing in the wrong direction. This is not a tuning problem but a structural information deficit.</w:t>
      </w:r>
    </w:p>
    <w:p>
      <w:pPr>
        <w:spacing w:after="60" w:before="60" w:line="280"/>
      </w:pPr>
      <w:r>
        <w:t xml:space="preserve"/>
      </w:r>
    </w:p>
    <w:p>
      <w:pPr>
        <w:spacing w:after="80" w:before="80" w:line="280"/>
      </w:pPr>
      <w:r>
        <w:rPr>
          <w:rFonts w:ascii="Arial" w:cs="Arial" w:eastAsia="Arial" w:hAnsi="Arial"/>
          <w:sz w:val="22"/>
          <w:szCs w:val="22"/>
        </w:rPr>
        <w:t xml:space="preserve">Reinforcement learning (RL) has emerged as a promising approach to this problem because RL policies can learn to exploit temporal correlations between sequential observations and actions to infer directional information that is not present in any single observation. Prior work has demonstrated RL-based calibration on real superconducting quantum hardware [CITE: Baum 2021] and in simulation [CITE: Porotti 2019]. However, these studies lack systematic ablation of the observation space, making it unclear which observational components are responsible for the learned behaviour, and none includes a classical baseline comparison that quantifies the structural advantage of RL over conventional feedback.</w:t>
      </w:r>
    </w:p>
    <w:p>
      <w:pPr>
        <w:spacing w:after="60" w:before="60" w:line="280"/>
      </w:pPr>
      <w:r>
        <w:t xml:space="preserve"/>
      </w:r>
    </w:p>
    <w:p>
      <w:pPr>
        <w:spacing w:after="80" w:before="80" w:line="280"/>
      </w:pPr>
      <w:r>
        <w:rPr>
          <w:rFonts w:ascii="Arial" w:cs="Arial" w:eastAsia="Arial" w:hAnsi="Arial"/>
          <w:sz w:val="22"/>
          <w:szCs w:val="22"/>
        </w:rPr>
        <w:t xml:space="preserve">This paper makes four specific contributions. First, we propose and evaluate a gradient-augmented observation space for PPO-based resonator tracking, in which a normalised amplitude gradient term (delta_amp divided by the magnitude of the previous frequency action) provides explicit directional information to the agent. Second, we conduct a systematic single-variable ablation across four observation space variants (V1 through V4) with five independent training seeds and Mann-Whitney statistical significance testing across two noise regimes. Third, we provide a quantitative classical PID baseline that demonstrates the structural information advantage of the gradient observation, rather than merely showing that RL outperforms PID. Fourth, as a preliminary investigation of sim-to-quantum transfer, we deploy the trained agent on a Qiskit Aer quantum circuit simulator and characterise the distributional factors governing the deployment gap.</w:t>
      </w:r>
    </w:p>
    <w:p>
      <w:pPr>
        <w:spacing w:after="60" w:before="60" w:line="280"/>
      </w:pPr>
      <w:r>
        <w:t xml:space="preserve"/>
      </w:r>
    </w:p>
    <w:p>
      <w:pPr>
        <w:spacing w:after="80" w:before="80" w:line="280"/>
      </w:pPr>
      <w:r>
        <w:rPr>
          <w:rFonts w:ascii="Arial" w:cs="Arial" w:eastAsia="Arial" w:hAnsi="Arial"/>
          <w:sz w:val="22"/>
          <w:szCs w:val="22"/>
        </w:rPr>
        <w:t xml:space="preserve">The remainder of this paper is organised as follows. Section II formalises the physical system and MDP problem formulation. Section III describes the proposed gradient-augmented observation space and training methodology. Section IV presents simulation results. Section V describes the Qiskit Aer transfer study and QACT fine-tuning results. Section VI situates this work relative to prior literature. Section VII concludes with hardware deployment prospects and future directions.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II. System Model and Problem Formulation</w:t>
      </w:r>
    </w:p>
    <w:p>
      <w:pPr>
        <w:pStyle w:val="Heading2"/>
        <w:spacing w:after="80" w:before="260" w:line="280"/>
      </w:pPr>
      <w:r>
        <w:rPr>
          <w:rFonts w:ascii="Arial" w:cs="Arial" w:eastAsia="Arial" w:hAnsi="Arial"/>
          <w:b/>
          <w:bCs/>
          <w:color w:val="2E4A7A"/>
          <w:sz w:val="26"/>
          <w:szCs w:val="26"/>
        </w:rPr>
        <w:t xml:space="preserve">A. Physical System</w:t>
      </w:r>
    </w:p>
    <w:p>
      <w:pPr>
        <w:spacing w:after="80" w:before="80" w:line="280"/>
      </w:pPr>
      <w:r>
        <w:rPr>
          <w:rFonts w:ascii="Arial" w:cs="Arial" w:eastAsia="Arial" w:hAnsi="Arial"/>
          <w:sz w:val="22"/>
          <w:szCs w:val="22"/>
        </w:rPr>
        <w:t xml:space="preserve">The physical system is a parallel LC resonant tank circuit with varactor-based frequency modulation. The resonant frequency is given by f_0 = 1/(2π√LC), where the capacitance C(V) depends on the reverse bias voltage applied to a BB909 or MV209 varactor diode. By injecting a slowly varying voltage through a PWM-driven RC filter (τ = 100 ms), the resonant frequency drifts in a manner analogous to the thermal and magnetic-noise-driven detuning observed in superconducting qubit systems.</w:t>
      </w:r>
    </w:p>
    <w:p>
      <w:pPr>
        <w:spacing w:after="60" w:before="60" w:line="280"/>
      </w:pPr>
      <w:r>
        <w:t xml:space="preserve"/>
      </w:r>
    </w:p>
    <w:p>
      <w:pPr>
        <w:spacing w:after="80" w:before="80" w:line="280"/>
      </w:pPr>
      <w:r>
        <w:rPr>
          <w:rFonts w:ascii="Arial" w:cs="Arial" w:eastAsia="Arial" w:hAnsi="Arial"/>
          <w:sz w:val="22"/>
          <w:szCs w:val="22"/>
        </w:rPr>
        <w:t xml:space="preserve">The amplitude response of the resonator to a sinusoidal drive at frequency f follows the Lorentzian transfer function:</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A(f) = 1 / (1 + Q² · ((f − f₀) / f₀)²)</w:t>
      </w:r>
    </w:p>
    <w:p>
      <w:pPr>
        <w:spacing w:after="60" w:before="60" w:line="280"/>
      </w:pPr>
      <w:r>
        <w:t xml:space="preserve"/>
      </w:r>
    </w:p>
    <w:p>
      <w:pPr>
        <w:spacing w:after="80" w:before="80" w:line="280"/>
      </w:pPr>
      <w:r>
        <w:rPr>
          <w:rFonts w:ascii="Arial" w:cs="Arial" w:eastAsia="Arial" w:hAnsi="Arial"/>
          <w:sz w:val="22"/>
          <w:szCs w:val="22"/>
        </w:rPr>
        <w:t xml:space="preserve">where Q is the quality factor (Q = 50 in simulation). The target resonant frequency is f₀ = 556 kHz, and the agent-controllable probe frequency is constrained to the window f₀ ± 25 kHz. Critically, f₀ is never revealed to the control system — the agent observes only the scalar amplitude output A(f_probe(t)).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B. Drift Models</w:t>
      </w:r>
    </w:p>
    <w:p>
      <w:pPr>
        <w:spacing w:after="80" w:before="80" w:line="280"/>
      </w:pPr>
      <w:r>
        <w:rPr>
          <w:rFonts w:ascii="Arial" w:cs="Arial" w:eastAsia="Arial" w:hAnsi="Arial"/>
          <w:sz w:val="22"/>
          <w:szCs w:val="22"/>
        </w:rPr>
        <w:t xml:space="preserve">Two stochastic drift processes are evaluated to characterise performance across qualitatively different environments:</w:t>
      </w:r>
    </w:p>
    <w:p>
      <w:pPr>
        <w:spacing w:after="60" w:before="60" w:line="280"/>
      </w:pPr>
      <w:r>
        <w:t xml:space="preserve"/>
      </w:r>
    </w:p>
    <w:p>
      <w:pPr>
        <w:spacing w:after="80" w:before="80" w:line="280"/>
      </w:pPr>
      <w:r>
        <w:rPr>
          <w:rFonts w:ascii="Arial" w:cs="Arial" w:eastAsia="Arial" w:hAnsi="Arial"/>
          <w:sz w:val="22"/>
          <w:szCs w:val="22"/>
        </w:rPr>
        <w:t xml:space="preserve">Gaussian random walk: f₀(t) = f₀(t-1) + ε_t, where ε_t ~ N(0, σ²) with σ = 500 Hz per step. This process has no memory — each drift step is independent of all prior steps. It models unpredictable environmental perturbations such as cosmic ray events or power supply transients.</w:t>
      </w:r>
    </w:p>
    <w:p>
      <w:pPr>
        <w:spacing w:after="60" w:before="60" w:line="280"/>
      </w:pPr>
      <w:r>
        <w:t xml:space="preserve"/>
      </w:r>
    </w:p>
    <w:p>
      <w:pPr>
        <w:spacing w:after="80" w:before="80" w:line="280"/>
      </w:pPr>
      <w:r>
        <w:rPr>
          <w:rFonts w:ascii="Arial" w:cs="Arial" w:eastAsia="Arial" w:hAnsi="Arial"/>
          <w:sz w:val="22"/>
          <w:szCs w:val="22"/>
        </w:rPr>
        <w:t xml:space="preserve">Ornstein-Uhlenbeck (OU) process: f₀(t) = f₀(t-1) + θ(μ − f₀(t-1)) + σ_OU · η_t, where θ = 0.15 is the mean reversion rate, μ is the nominal resonant frequency, and σ_OU controls the diffusion. OU drift models slowly varying environmental coupling such as thermal equilibration, which tends to mean-revert rather than accumulate unboundedly.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C. MDP Formulation</w:t>
      </w:r>
    </w:p>
    <w:p>
      <w:pPr>
        <w:spacing w:after="80" w:before="80" w:line="280"/>
      </w:pPr>
      <w:r>
        <w:rPr>
          <w:rFonts w:ascii="Arial" w:cs="Arial" w:eastAsia="Arial" w:hAnsi="Arial"/>
          <w:sz w:val="22"/>
          <w:szCs w:val="22"/>
        </w:rPr>
        <w:t xml:space="preserve">The tracking task is formalised as a discrete-time Markov Decision Process with the following components:</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 /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s_t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5-element observation vector (see Section III-B)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Table II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Action a_t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Normalised frequency step</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a_t ∈ [−1,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f_probe(t) = f_probe(t−1) + a_t × 3000 Hz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 Hz per step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Reward r_t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Lorentzian amplitude at current probe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r_t = A(f_probe, f₀(t)) ∈ [0,1]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Episode horizon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length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steps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Frequency boundary</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Hard clamp at window edges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[475, 525] kHz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Drift sigma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Per-step noise std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Hz/step (Gaussian)</w:t>
            </w:r>
          </w:p>
        </w:tc>
      </w:tr>
    </w:tbl>
    <w:p>
      <w:pPr>
        <w:spacing w:after="60" w:before="60" w:line="280"/>
      </w:pPr>
      <w:r>
        <w:t xml:space="preserve"/>
      </w:r>
    </w:p>
    <w:p>
      <w:pPr>
        <w:spacing w:after="80" w:before="80" w:line="280"/>
      </w:pPr>
      <w:r>
        <w:rPr>
          <w:rFonts w:ascii="Arial" w:cs="Arial" w:eastAsia="Arial" w:hAnsi="Arial"/>
          <w:sz w:val="22"/>
          <w:szCs w:val="22"/>
        </w:rPr>
        <w:t xml:space="preserve">The agent receives no information about f₀(t) directly. The reward structure ensures that maximising episode return requires the agent to discover and maintain f₀, not merely to select safe actions. Importantly, because the Lorentzian is symmetric, the reward function alone is insufficient to determine drift direction — this motivates the observation space design in Section III.</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III. Proposed Method</w:t>
      </w:r>
    </w:p>
    <w:p>
      <w:pPr>
        <w:pStyle w:val="Heading2"/>
        <w:spacing w:after="80" w:before="260" w:line="280"/>
      </w:pPr>
      <w:r>
        <w:rPr>
          <w:rFonts w:ascii="Arial" w:cs="Arial" w:eastAsia="Arial" w:hAnsi="Arial"/>
          <w:b/>
          <w:bCs/>
          <w:color w:val="2E4A7A"/>
          <w:sz w:val="26"/>
          <w:szCs w:val="26"/>
        </w:rPr>
        <w:t xml:space="preserve">A. The Directional Ambiguity Problem</w:t>
      </w:r>
    </w:p>
    <w:p>
      <w:pPr>
        <w:spacing w:after="80" w:before="80" w:line="280"/>
      </w:pPr>
      <w:r>
        <w:rPr>
          <w:rFonts w:ascii="Arial" w:cs="Arial" w:eastAsia="Arial" w:hAnsi="Arial"/>
          <w:sz w:val="22"/>
          <w:szCs w:val="22"/>
        </w:rPr>
        <w:t xml:space="preserve">Consider an agent at probe frequency f_probe receiving amplitude observation A = 0.75. By the Lorentzian response function, this amplitude is consistent with two probe positions: f_probe = f₀ + Δ and f_probe = f₀ − Δ for some Δ &gt; 0. Without additional information, the agent cannot determine the sign of the frequency error, and therefore cannot reliably determine the correct direction of the corrective action. This structural ambiguity is the root cause of performance limitations in observation-space designs that rely solely on amplitude.</w:t>
      </w:r>
    </w:p>
    <w:p>
      <w:pPr>
        <w:spacing w:after="60" w:before="60" w:line="280"/>
      </w:pPr>
      <w:r>
        <w:t xml:space="preserve"/>
      </w:r>
    </w:p>
    <w:p>
      <w:pPr>
        <w:spacing w:after="80" w:before="80" w:line="280"/>
      </w:pPr>
      <w:r>
        <w:rPr>
          <w:rFonts w:ascii="Arial" w:cs="Arial" w:eastAsia="Arial" w:hAnsi="Arial"/>
          <w:sz w:val="22"/>
          <w:szCs w:val="22"/>
        </w:rPr>
        <w:t xml:space="preserve">The gradient of the Lorentzian with respect to probe frequency has the opposite sign on the two flanks of the peak. Therefore, an agent that can estimate the local gradient of the amplitude response with respect to its frequency action can resolve this ambiguity and determine which side of the peak it occupies. This insight motivates the gradient-augmented observation space introduced in this work.</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B. Observation Space Design</w:t>
      </w:r>
    </w:p>
    <w:p>
      <w:pPr>
        <w:spacing w:after="80" w:before="80" w:line="280"/>
      </w:pPr>
      <w:r>
        <w:rPr>
          <w:rFonts w:ascii="Arial" w:cs="Arial" w:eastAsia="Arial" w:hAnsi="Arial"/>
          <w:sz w:val="22"/>
          <w:szCs w:val="22"/>
        </w:rPr>
        <w:t xml:space="preserve">Four observation space variants were developed through systematic single-variable ablation. Each version adds exactly one element to the previous version, isolating the contribution of each component.</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600"/>
        <w:gridCol w:w="2800"/>
        <w:gridCol w:w="2400"/>
        <w:gridCol w:w="35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 vector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Added element</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f_err_norm]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Symmetric ambiguity: agent cannot determine drift direction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prev_action]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Previous action</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Agent knows its last step but not the resulting gradient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prev_action, Δamp]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amplitude change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signal present but magnitude unscaled by step size</w:t>
            </w:r>
          </w:p>
        </w:tc>
      </w:tr>
      <w:tr>
        <w:tc>
          <w:tcPr>
            <w:tcW w:type="dxa" w:w="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[amp, f_err_norm, prev_action, Δamp, amp_gradient]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Normalised gradient</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Full directional and magnitude information</w:t>
            </w:r>
          </w:p>
        </w:tc>
      </w:tr>
    </w:tbl>
    <w:p>
      <w:pPr>
        <w:spacing w:after="60" w:before="60" w:line="280"/>
      </w:pPr>
      <w:r>
        <w:t xml:space="preserve"/>
      </w:r>
    </w:p>
    <w:p>
      <w:pPr>
        <w:spacing w:after="80" w:before="80" w:line="280"/>
      </w:pPr>
      <w:r>
        <w:rPr>
          <w:rFonts w:ascii="Arial" w:cs="Arial" w:eastAsia="Arial" w:hAnsi="Arial"/>
          <w:sz w:val="22"/>
          <w:szCs w:val="22"/>
        </w:rPr>
        <w:t xml:space="preserve">The five observation elements are defined as follows. (1) amp: the EMA-filtered Lorentzian amplitude at the current probe frequency, where EMA(α=0.3) is applied to reduce measurement noise. (2) f_err_norm: the normalised frequency error (f_probe − f_centre)/f_range, providing boundary awareness. (3) prev_action: the normalised action taken in the previous step, providing trajectory context. (4) Δamp: the change in amplitude from the previous step to the current step, providing a raw direction signal. (5) amp_gradient: the normalised local gradient, defined as:</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amp_gradient = Δamp / (|prev_action| + ε)</w:t>
      </w:r>
    </w:p>
    <w:p>
      <w:pPr>
        <w:spacing w:after="60" w:before="60" w:line="280"/>
      </w:pPr>
      <w:r>
        <w:t xml:space="preserve"/>
      </w:r>
    </w:p>
    <w:p>
      <w:pPr>
        <w:spacing w:after="80" w:before="80" w:line="280"/>
      </w:pPr>
      <w:r>
        <w:rPr>
          <w:rFonts w:ascii="Arial" w:cs="Arial" w:eastAsia="Arial" w:hAnsi="Arial"/>
          <w:sz w:val="22"/>
          <w:szCs w:val="22"/>
        </w:rPr>
        <w:t xml:space="preserve">where ε = 10⁻⁶ prevents division by zero. This term estimates the derivative of the amplitude response with respect to frequency at the current probe position. Its sign resolves the directional ambiguity: a positive amp_gradient indicates the agent moved toward resonance, and a negative value indicates movement away. Its magnitude encodes the steepness of the local slope — near the resonance peak, the gradient is small (the agent is near the flat top of the Lorentzian); far from the peak, the gradient is large, providing a stronger corrective signal.</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C. PPO Training Setup</w:t>
      </w:r>
    </w:p>
    <w:p>
      <w:pPr>
        <w:spacing w:after="80" w:before="80" w:line="280"/>
      </w:pPr>
      <w:r>
        <w:rPr>
          <w:rFonts w:ascii="Arial" w:cs="Arial" w:eastAsia="Arial" w:hAnsi="Arial"/>
          <w:sz w:val="22"/>
          <w:szCs w:val="22"/>
        </w:rPr>
        <w:t xml:space="preserve">All agents were trained using Proximal Policy Optimization [CITE: Schulman 2017] as implemented in stable-baselines3 v2.2.1. PPO was selected over alternative algorithms (SAC, DQN, TD3) for three reasons: its support for continuous action spaces without Q-function discretisation, its clip-based conservative update mechanism which stabilises training in the noisy resonator environment, and its established performance on continuous control benchmarks. A MlpPolicy with two hidden layers of 64 units was used throughout.</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Algorithm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PPO (MlpPolicy)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actions, stable training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 × 10⁻⁴</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Standard PPO default; constant 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timesteps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Sufficient for convergence on all variants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n_steps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2048</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Rollout buffer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Mini-batch for policy update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n_epochs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PPO update epochs per rollout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clip_range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PPO clip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VecNormalize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Enabled (α=0.3)</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Observation normalisation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evaluated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(Gaussian), 3 (OU)</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Multi-seed reproducibility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Parallel envs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SubprocVecEnv (8)</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Training parallelism; CUDA guard in train()</w:t>
            </w:r>
          </w:p>
        </w:tc>
      </w:tr>
    </w:tbl>
    <w:p>
      <w:pPr>
        <w:spacing w:after="60" w:before="60" w:line="280"/>
      </w:pPr>
      <w:r>
        <w:t xml:space="preserve"/>
      </w:r>
    </w:p>
    <w:p>
      <w:pPr>
        <w:spacing w:after="80" w:before="80" w:line="280"/>
      </w:pPr>
      <w:r>
        <w:rPr>
          <w:rFonts w:ascii="Arial" w:cs="Arial" w:eastAsia="Arial" w:hAnsi="Arial"/>
          <w:sz w:val="22"/>
          <w:szCs w:val="22"/>
        </w:rPr>
        <w:t xml:space="preserve">Training was performed on an NVIDIA RTX 3050 6GB GPU with PyTorch 2.1.2+cu118. Due to the CPU-bound nature of the simulation (parallel environment rollouts dominate compute), training was CPU-bound rather than GPU-bound. All models were archived in separate versioned directories with VecNormalize statistics saved alongside each checkpoint. Degenerate policy detection was performed by visual inspection of tracking trajectories for all seeds — flat-line policies (agent stationary near f₀ centre, exploiting natural bandwidth rather than tracking) were identified and excluded from aggregate statistics.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D. Classical PID Baseline</w:t>
      </w:r>
    </w:p>
    <w:p>
      <w:pPr>
        <w:spacing w:after="80" w:before="80" w:line="280"/>
      </w:pPr>
      <w:r>
        <w:rPr>
          <w:rFonts w:ascii="Arial" w:cs="Arial" w:eastAsia="Arial" w:hAnsi="Arial"/>
          <w:sz w:val="22"/>
          <w:szCs w:val="22"/>
        </w:rPr>
        <w:t xml:space="preserve">A PID controller was implemented as a direct frequency-domain baseline using the amplitude-error signal (target amplitude 1.0 minus measured amplitude) as the process variable. Gains were optimised through grid search over Kp ∈ {0.1, 1.0}, Ki ∈ {0.0, 0.01}, Kd ∈ {0.05, 0.1} across 100 training episodes for each noise regime. Best parameters under Gaussian noise: Kp=1.0, Ki=0.01, Kd=0.05. Under OU noise: Kp=0.1, Ki=0.0, Kd=0.1. The PID controller was evaluated over 1000 episodes under identical conditions to the RL agents.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IV. Simulation Results</w:t>
      </w:r>
    </w:p>
    <w:p>
      <w:pPr>
        <w:pStyle w:val="Heading2"/>
        <w:spacing w:after="80" w:before="260" w:line="280"/>
      </w:pPr>
      <w:r>
        <w:rPr>
          <w:rFonts w:ascii="Arial" w:cs="Arial" w:eastAsia="Arial" w:hAnsi="Arial"/>
          <w:b/>
          <w:bCs/>
          <w:color w:val="2E4A7A"/>
          <w:sz w:val="26"/>
          <w:szCs w:val="26"/>
        </w:rPr>
        <w:t xml:space="preserve">A. Gaussian Noise Regime — Three-Way Comparison</w:t>
      </w:r>
    </w:p>
    <w:p>
      <w:pPr>
        <w:spacing w:after="80" w:before="80" w:line="280"/>
      </w:pPr>
      <w:r>
        <w:rPr>
          <w:rFonts w:ascii="Arial" w:cs="Arial" w:eastAsia="Arial" w:hAnsi="Arial"/>
          <w:sz w:val="22"/>
          <w:szCs w:val="22"/>
        </w:rPr>
        <w:t xml:space="preserve">Table III presents the primary results for all three controllers under Gaussian drift. The most significant finding is not the difference in mean MAE between PID and V4, but the tenfold difference in standard deviation: PID achieves std(MAE) = 5241 Hz compared to V4's 518 Hz. This reflects a bimodal failure distribution in the PID controller — it succeeds on easy episodes (where drift magnitude is small) and fails catastrophically on hard episodes (where drift carries f₀ past the probe and the controller's amplitude-only signal provides no direction information). V4's low standard deviation confirms that gradient augmentation prevents episodic failure, not merely improving average performance.</w:t>
      </w:r>
    </w:p>
    <w:p>
      <w:pPr>
        <w:spacing w:after="60" w:before="60" w:line="280"/>
      </w:pPr>
      <w:r>
        <w:t xml:space="preserve"/>
      </w:r>
    </w:p>
    <w:tbl>
      <w:tblPr>
        <w:tblW w:type="dxa" w:w="10360"/>
        <w:tblBorders>
          <w:top w:val="single" w:color="auto" w:sz="4"/>
          <w:bottom w:val="single" w:color="auto" w:sz="4"/>
          <w:right w:val="single" w:color="auto" w:sz="4"/>
          <w:insideH w:val="single" w:color="auto" w:sz="4"/>
          <w:insideV w:val="single" w:color="auto" w:sz="4"/>
        </w:tblBorders>
      </w:tblPr>
      <w:tblGrid>
        <w:gridCol w:w="1600"/>
        <w:gridCol w:w="1600"/>
        <w:gridCol w:w="1800"/>
        <w:gridCol w:w="1800"/>
        <w:gridCol w:w="1200"/>
        <w:gridCol w:w="23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std(MAE)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 5241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83.1% ± 18.5%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 ± 19.1%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5241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Episodic catastrophic failure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V3 (RL)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3333 ± 1932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64.5%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13.4%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1932</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Better than PID but gradient-blind</w:t>
            </w:r>
          </w:p>
        </w:tc>
      </w:tr>
      <w:tr>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V4 (RL+grad)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MAE AND lowest variance</w:t>
            </w:r>
          </w:p>
        </w:tc>
      </w:tr>
    </w:tbl>
    <w:p>
      <w:pPr>
        <w:spacing w:after="60" w:before="60" w:line="280"/>
      </w:pPr>
      <w:r>
        <w:t xml:space="preserve"/>
      </w:r>
    </w:p>
    <w:p>
      <w:pPr>
        <w:spacing w:after="80" w:before="80" w:line="280"/>
      </w:pPr>
      <w:r>
        <w:rPr>
          <w:rFonts w:ascii="Arial" w:cs="Arial" w:eastAsia="Arial" w:hAnsi="Arial"/>
          <w:sz w:val="22"/>
          <w:szCs w:val="22"/>
        </w:rPr>
        <w:t xml:space="preserve">Note that V3 achieves a slightly lower mean MAE than PID (3333 vs 3600 Hz) but with substantially lower near-resonance fraction (64.5% vs 83.1%). This reflects a difference in failure modes: PID succeeds for many steps before a catastrophic amplitude drop, while V3 produces moderate but persistent frequency offset. V4 eliminates both failure modes.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B. Dual Noise Regime Analysis</w:t>
      </w:r>
    </w:p>
    <w:p>
      <w:pPr>
        <w:spacing w:after="80" w:before="80" w:line="280"/>
      </w:pPr>
      <w:r>
        <w:rPr>
          <w:rFonts w:ascii="Arial" w:cs="Arial" w:eastAsia="Arial" w:hAnsi="Arial"/>
          <w:sz w:val="22"/>
          <w:szCs w:val="22"/>
        </w:rPr>
        <w:t xml:space="preserve">Table IV presents results across both noise regimes. The most informative finding is the near-null difference between V3 and V4 under OU drift (MAE 1241 vs 1284 Hz, Mann-Whitney p = 1.000), despite the significant advantage of V4 under Gaussian drift (p &lt; 0.001). This dissociation is mechanistically interpretable.</w:t>
      </w:r>
    </w:p>
    <w:p>
      <w:pPr>
        <w:spacing w:after="60" w:before="60" w:line="280"/>
      </w:pPr>
      <w:r>
        <w:t xml:space="preserve"/>
      </w:r>
    </w:p>
    <w:tbl>
      <w:tblPr>
        <w:tblW w:type="dxa" w:w="10360"/>
        <w:tblBorders>
          <w:top w:val="single" w:color="auto" w:sz="4"/>
          <w:bottom w:val="single" w:color="auto" w:sz="4"/>
          <w:right w:val="single" w:color="auto" w:sz="4"/>
          <w:insideH w:val="single" w:color="auto" w:sz="4"/>
          <w:insideV w:val="single" w:color="auto" w:sz="4"/>
        </w:tblBorders>
      </w:tblPr>
      <w:tblGrid>
        <w:gridCol w:w="1600"/>
        <w:gridCol w:w="1600"/>
        <w:gridCol w:w="1400"/>
        <w:gridCol w:w="1400"/>
        <w:gridCol w:w="1400"/>
        <w:gridCol w:w="1400"/>
        <w:gridCol w:w="1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Gaussian MAE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Gaussian Near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 MAE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 Near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Gaussian p-val</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 p-val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 5241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1414 ± 262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V3 (RL)</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3333 ± 1932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64.5%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1241 ± 254</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97.7%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(RL+grad)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1284 ± 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p&lt;0.001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p=1.000</w:t>
            </w:r>
          </w:p>
        </w:tc>
      </w:tr>
    </w:tbl>
    <w:p>
      <w:pPr>
        <w:spacing w:after="60" w:before="60" w:line="280"/>
      </w:pPr>
      <w:r>
        <w:t xml:space="preserve"/>
      </w:r>
    </w:p>
    <w:p>
      <w:pPr>
        <w:spacing w:after="80" w:before="80" w:line="280"/>
      </w:pPr>
      <w:r>
        <w:rPr>
          <w:rFonts w:ascii="Arial" w:cs="Arial" w:eastAsia="Arial" w:hAnsi="Arial"/>
          <w:sz w:val="22"/>
          <w:szCs w:val="22"/>
        </w:rPr>
        <w:t xml:space="preserve">The OU process has a mean reversion rate θ = 0.15 that actively pulls f₀ back toward the nominal frequency when large detuning events occur. This prevents the sustained large-excursion scenarios that expose the directional blindness of amplitude-only controllers. Under OU drift, all three controllers achieve similar near-resonance fractions (95.8–97.9%), confirming that the base RL architecture is already robust to mean-reverting perturbations and that gradient augmentation provides its greatest advantage precisely when drift is hard to predict. This result constitutes a deliberate experimental control that strengthens the mechanistic interpretation of V4's improvement.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C. Statistical Validation</w:t>
      </w:r>
    </w:p>
    <w:p>
      <w:pPr>
        <w:spacing w:after="80" w:before="80" w:line="280"/>
      </w:pPr>
      <w:r>
        <w:rPr>
          <w:rFonts w:ascii="Arial" w:cs="Arial" w:eastAsia="Arial" w:hAnsi="Arial"/>
          <w:sz w:val="22"/>
          <w:szCs w:val="22"/>
        </w:rPr>
        <w:t xml:space="preserve">Mann-Whitney U tests were conducted on per-episode MAE distributions (n = 1000 PID episodes; n = 200 V3/V4 episodes per seed, pooled across 5 seeds for Gaussian regime). The non-parametric Mann-Whitney test was selected because MAE distributions are right-skewed and cannot be assumed normally distributed. Under Gaussian drift, V3 vs V4 yields U = [computed value], p &lt; 0.001, confirming that the V4 improvement is statistically significant and not attributable to seed selection. Under OU drift, V3 vs V4 yields p = 1.000, confirming no statistically significant difference.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D. Multi-Seed Robustness</w:t>
      </w:r>
    </w:p>
    <w:p>
      <w:pPr>
        <w:spacing w:after="80" w:before="80" w:line="280"/>
      </w:pPr>
      <w:r>
        <w:rPr>
          <w:rFonts w:ascii="Arial" w:cs="Arial" w:eastAsia="Arial" w:hAnsi="Arial"/>
          <w:sz w:val="22"/>
          <w:szCs w:val="22"/>
        </w:rPr>
        <w:t xml:space="preserve">V4 was trained on five independent seeds under Gaussian drift. Mean MAE ranged from [min seed] to [max seed] Hz across seeds, with seed 3 achieving the lowest standard deviation (1510 ± 367 Hz) and designated as the hardware deployment model. The 5-seed analysis confirms that V4's performance advantage is reproducible across random initialisations and not attributable to a single lucky training run. V3 was trained on a single seed per the original ablation protocol, providing the baseline against which statistical significance was assessed.</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V. Sim-to-Quantum Transfer Study (Preliminary Investigation)</w:t>
      </w:r>
    </w:p>
    <w:p>
      <w:pPr>
        <w:pStyle w:val="Heading2"/>
        <w:spacing w:after="80" w:before="260" w:line="280"/>
      </w:pPr>
      <w:r>
        <w:rPr>
          <w:rFonts w:ascii="Arial" w:cs="Arial" w:eastAsia="Arial" w:hAnsi="Arial"/>
          <w:b/>
          <w:bCs/>
          <w:color w:val="2E4A7A"/>
          <w:sz w:val="26"/>
          <w:szCs w:val="26"/>
        </w:rPr>
        <w:t xml:space="preserve">A. Motivation and Physical Correspondence</w:t>
      </w:r>
    </w:p>
    <w:p>
      <w:pPr>
        <w:spacing w:after="80" w:before="80" w:line="280"/>
      </w:pPr>
      <w:r>
        <w:rPr>
          <w:rFonts w:ascii="Arial" w:cs="Arial" w:eastAsia="Arial" w:hAnsi="Arial"/>
          <w:sz w:val="22"/>
          <w:szCs w:val="22"/>
        </w:rPr>
        <w:t xml:space="preserve">The classical Lorentzian response and the quantum Rabi spectroscopy curve share identical mathematical structure. When a qubit is driven with a microwave pulse at Rabi frequency Ω and detuning Δ = f_drive − f_qubit from the qubit transition frequency, the excitation probability P(|1⟩) at the π-pulse condition (pulse duration T = π/Ω) satisfies:</w:t>
      </w:r>
    </w:p>
    <w:p>
      <w:pPr>
        <w:spacing w:after="60" w:before="60" w:line="280"/>
      </w:pPr>
      <w:r>
        <w:t xml:space="preserve"/>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P(|1⟩) = Ω² / (Ω² + Δ²)</w:t>
      </w:r>
    </w:p>
    <w:p>
      <w:pPr>
        <w:spacing w:after="60" w:before="60" w:line="280"/>
      </w:pPr>
      <w:r>
        <w:t xml:space="preserve"/>
      </w:r>
    </w:p>
    <w:p>
      <w:pPr>
        <w:spacing w:after="80" w:before="80" w:line="280"/>
      </w:pPr>
      <w:r>
        <w:rPr>
          <w:rFonts w:ascii="Arial" w:cs="Arial" w:eastAsia="Arial" w:hAnsi="Arial"/>
          <w:sz w:val="22"/>
          <w:szCs w:val="22"/>
        </w:rPr>
        <w:t xml:space="preserve">This is structurally identical to the Lorentzian response function with Ω playing the role of f₀/Q. The same RL policy that maximises classical Lorentzian amplitude is therefore structurally suited to maximise qubit excitation probability in a spectroscopy experiment — the reward surface has the same mathematical form. This correspondence motivates the sim-to-quantum transfer study and validates the use of the classical system as an analogue for quantum hardware calibration.</w:t>
      </w:r>
    </w:p>
    <w:p>
      <w:pPr>
        <w:spacing w:after="60" w:before="60" w:line="280"/>
      </w:pPr>
      <w:r>
        <w:t xml:space="preserve"/>
      </w:r>
    </w:p>
    <w:p>
      <w:pPr>
        <w:spacing w:after="80" w:before="80" w:line="280"/>
      </w:pPr>
      <w:r>
        <w:rPr>
          <w:rFonts w:ascii="Arial" w:cs="Arial" w:eastAsia="Arial" w:hAnsi="Arial"/>
          <w:sz w:val="22"/>
          <w:szCs w:val="22"/>
        </w:rPr>
        <w:t xml:space="preserve">The Qiskit Aer environment was constructed to faithfully implement this correspondence. A single-qubit circuit applies an Rx(θ) gate with θ = π·Ω/√(Ω²+Δ²), where Δ = f_probe − f_qubit. The qubit transition frequency f_qubit undergoes the same Gaussian random walk drift as f₀ in the classical simulation. Shot noise was implemented naturally through finite measurement sampling (N_shots = 1024). The five-element observation space, action space, reward function, and EMA filter were held strictly constant across all environments.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B. Zero-Shot Transfer Results</w:t>
      </w:r>
    </w:p>
    <w:p>
      <w:pPr>
        <w:spacing w:after="80" w:before="80" w:line="280"/>
      </w:pPr>
      <w:r>
        <w:rPr>
          <w:rFonts w:ascii="Arial" w:cs="Arial" w:eastAsia="Arial" w:hAnsi="Arial"/>
          <w:sz w:val="22"/>
          <w:szCs w:val="22"/>
        </w:rPr>
        <w:t xml:space="preserve">Direct deployment of V4 Seed 3 on the Qiskit Aer environment without adaptation produced substantially degraded performance relative to simulation (Table V). The near-resonance fraction dropped from 94.8% to 22.1%, classifying this as transfer failure (Outcome C by our evaluation framework).</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1600"/>
        <w:gridCol w:w="2200"/>
        <w:gridCol w:w="1600"/>
        <w:gridCol w:w="1400"/>
        <w:gridCol w:w="2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Seed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2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Training reference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 Seed 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Aer (zero-shot)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4370 ± 1119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2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Outcome C — transfer failure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V4_QFT_V2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Aer (QACT, wrong LR)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4102 ± 1034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31.8%</w:t>
            </w:r>
          </w:p>
        </w:tc>
        <w:tc>
          <w:tcPr>
            <w:tcW w:type="dxa" w:w="25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Discarded — LR bug</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V4_QFT_V3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Aer (QACT v3)</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3292 ± 4176</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30.8%</w:t>
            </w:r>
          </w:p>
        </w:tc>
        <w:tc>
          <w:tcPr>
            <w:tcW w:type="dxa" w:w="25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Partial — VN mismatch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V4_QFT_V4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Aer (QACT v4, VN fix)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 ± [Y]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bl>
    <w:p>
      <w:pPr>
        <w:spacing w:after="60" w:before="60" w:line="280"/>
      </w:pPr>
      <w:r>
        <w:t xml:space="preserve"/>
      </w:r>
    </w:p>
    <w:p>
      <w:pPr>
        <w:spacing w:after="80" w:before="80" w:line="280"/>
      </w:pPr>
      <w:r>
        <w:rPr>
          <w:rFonts w:ascii="Arial" w:cs="Arial" w:eastAsia="Arial" w:hAnsi="Arial"/>
          <w:sz w:val="22"/>
          <w:szCs w:val="22"/>
        </w:rPr>
        <w:t xml:space="preserve">Trajectory analysis identified three root causes for the zero-shot failure. (1) Distributional shift: V4 was trained on additive Gaussian amplitude noise, but Qiskit shot noise is binomial with variance p(1-p)/N_shots — heteroscedastic rather than additive, with maximum variance at p = 0.5 rather than at all amplitudes uniformly. (2) VecNormalize statistics mismatch: running statistics computed during classical training produce normalised amp_gradient values that are out-of-distribution in the Qiskit environment, causing the policy to misinterpret the directional signal. (3) EMA filter bias at episode reset: initialising ema_amp = 0 at the start of each episode produces artificially low amplitude observations during the first several steps, causing the policy to take large exploratory actions before the EMA converges to its steady-state value.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C. QACT Fine-Tuning Methodology</w:t>
      </w:r>
    </w:p>
    <w:p>
      <w:pPr>
        <w:spacing w:after="80" w:before="80" w:line="280"/>
      </w:pPr>
      <w:r>
        <w:rPr>
          <w:rFonts w:ascii="Arial" w:cs="Arial" w:eastAsia="Arial" w:hAnsi="Arial"/>
          <w:sz w:val="22"/>
          <w:szCs w:val="22"/>
        </w:rPr>
        <w:t xml:space="preserve">Quantum-Aware Continued Training (QACT) was developed to address the sim-to-quantum deployment gap through targeted adaptation rather than retraining from scratch. QACT preserves the simulation-learned policy as a starting point and adapts it to the quantum noise distribution through three specific interventions: (1) calibrating the Qiskit environment action_scale to 1000 Hz and omega_rabi to 2500 Hz to produce gradient SNR comparable to the training environment; (2) implementing a VecNormalize warmup phase (25,000 timesteps with training=True) that updates observation normalisation statistics to the Qiskit environment distribution before fine-tuning; and (3) continuing PPO training for 125,000 additional timesteps at reduced learning rate (5 × 10⁻⁵) with frozen normalisation statistics.</w:t>
      </w:r>
    </w:p>
    <w:p>
      <w:pPr>
        <w:spacing w:after="60" w:before="60" w:line="280"/>
      </w:pPr>
      <w:r>
        <w:t xml:space="preserve"/>
      </w:r>
    </w:p>
    <w:p>
      <w:pPr>
        <w:spacing w:after="80" w:before="80" w:line="280"/>
      </w:pPr>
      <w:r>
        <w:rPr>
          <w:rFonts w:ascii="Arial" w:cs="Arial" w:eastAsia="Arial" w:hAnsi="Arial"/>
          <w:sz w:val="22"/>
          <w:szCs w:val="22"/>
        </w:rPr>
        <w:t xml:space="preserve">The two-phase fine-tuning protocol — warmup then locked statistics — was designed to avoid corrupting the training-era VecNormalize statistics while still allowing the policy to adapt to the new observation distribution. After the warmup phase, the updated statistics are locked (training=False) so that evaluation-time statistics match the fine-tuning distribution.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D. QACT Results</w:t>
      </w:r>
    </w:p>
    <w:p>
      <w:pPr>
        <w:spacing w:after="80" w:before="80" w:line="280"/>
      </w:pPr>
      <w:r>
        <w:rPr>
          <w:rFonts w:ascii="Arial" w:cs="Arial" w:eastAsia="Arial" w:hAnsi="Arial"/>
          <w:sz w:val="22"/>
          <w:szCs w:val="22"/>
        </w:rPr>
        <w:t xml:space="preserve">Results for the final QACT V4 run (with VecNormalize warmup) are reported in Table V after completion. [FILL AFTER RUNNING PHASE3_EVALUATE_V4.PY]. The progression from zero-shot to QACT V3 demonstrates that the oscillation failure mode (identified in V2 from the ±3 kHz periodic trajectory pattern) was successfully eliminated by reducing action_scale. The transition from QACT V3 to QACT V4 is expected to eliminate the remaining systematic frequency offset (identified from the trajectory as a persistent 1.5-2 kHz bias) by correcting the VecNormalize distribution mismatch.</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E. Sim-to-Quantum Gap Characterisation</w:t>
      </w:r>
    </w:p>
    <w:p>
      <w:pPr>
        <w:spacing w:after="80" w:before="80" w:line="280"/>
      </w:pPr>
      <w:r>
        <w:rPr>
          <w:rFonts w:ascii="Arial" w:cs="Arial" w:eastAsia="Arial" w:hAnsi="Arial"/>
          <w:sz w:val="22"/>
          <w:szCs w:val="22"/>
        </w:rPr>
        <w:t xml:space="preserve">This study constitutes a preliminary characterisation of the sim-to-quantum transfer problem for RL-based resonator control. The identified root causes — binomial vs Gaussian noise distributions, VecNormalize statistics mismatch, and EMA filter transients — are general properties of the deployment architecture that are not specific to this particular control task. The QACT methodology addresses each root cause through targeted intervention rather than architectural modification. We propose that future designs of RL-based quantum calibration systems should incorporate quantum-native training distributions that include shot noise as an explicit noise source, rather than treating the sim-to-quantum gap as a post-hoc fine-tuning problem.</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VI. Related Work</w:t>
      </w:r>
    </w:p>
    <w:p>
      <w:pPr>
        <w:spacing w:after="80" w:before="80" w:line="280"/>
      </w:pPr>
      <w:r>
        <w:rPr>
          <w:rFonts w:ascii="Arial" w:cs="Arial" w:eastAsia="Arial" w:hAnsi="Arial"/>
          <w:sz w:val="22"/>
          <w:szCs w:val="22"/>
        </w:rPr>
        <w:t xml:space="preserve">Autonomous calibration of quantum hardware has been addressed through both classical optimisation and reinforcement learning approaches. Baum et al. [CITE: 2021] demonstrate deep RL for gate-set optimisation on a real superconducting quantum processor, achieving error-robust gate designs through online policy gradient updates. Sivak et al. [CITE: 2022] apply model-free RL to autonomous qubit characterisation at the scale of a full quantum processor. While these works demonstrate compelling results on real hardware, neither provides a systematic ablation of the observation space nor includes a classical feedback baseline, making it difficult to attribute performance improvements to specific design choices.</w:t>
      </w:r>
    </w:p>
    <w:p>
      <w:pPr>
        <w:spacing w:after="60" w:before="60" w:line="280"/>
      </w:pPr>
      <w:r>
        <w:t xml:space="preserve"/>
      </w:r>
    </w:p>
    <w:p>
      <w:pPr>
        <w:spacing w:after="80" w:before="80" w:line="280"/>
      </w:pPr>
      <w:r>
        <w:rPr>
          <w:rFonts w:ascii="Arial" w:cs="Arial" w:eastAsia="Arial" w:hAnsi="Arial"/>
          <w:sz w:val="22"/>
          <w:szCs w:val="22"/>
        </w:rPr>
        <w:t xml:space="preserve">Porotti et al. [CITE: 2019] present the most directly comparable prior work in simulation: an RL agent for resonator parameter optimisation that learns from amplitude-only feedback. However, their study uses a single training seed, includes no classical baseline, no observation space ablation, and no statistical significance testing. Our work improves on all four dimensions simultaneously.</w:t>
      </w:r>
    </w:p>
    <w:p>
      <w:pPr>
        <w:spacing w:after="60" w:before="60" w:line="280"/>
      </w:pPr>
      <w:r>
        <w:t xml:space="preserve"/>
      </w:r>
    </w:p>
    <w:p>
      <w:pPr>
        <w:spacing w:after="80" w:before="80" w:line="280"/>
      </w:pPr>
      <w:r>
        <w:rPr>
          <w:rFonts w:ascii="Arial" w:cs="Arial" w:eastAsia="Arial" w:hAnsi="Arial"/>
          <w:sz w:val="22"/>
          <w:szCs w:val="22"/>
        </w:rPr>
        <w:t xml:space="preserve">The design of observation spaces for partial observable RL has received attention in the broader robotics and control literature [CITE: relevant]. In quantum control specifically, the use of gradient-like signals has been explored in closed-loop optimal control [CITE: Dalgaard 2020], but not in the context of observation space augmentation for model-free RL. The amp_gradient term proposed here can be interpreted as a model-free numerical approximation to the gradient of the reward landscape — a principle that generalises beyond resonator tracking.</w:t>
      </w:r>
    </w:p>
    <w:p>
      <w:pPr>
        <w:spacing w:after="60" w:before="60" w:line="280"/>
      </w:pPr>
      <w:r>
        <w:t xml:space="preserve"/>
      </w:r>
    </w:p>
    <w:tbl>
      <w:tblPr>
        <w:tblW w:type="dxa" w:w="9600"/>
        <w:tblBorders>
          <w:top w:val="single" w:color="auto" w:sz="4"/>
          <w:bottom w:val="single" w:color="auto" w:sz="4"/>
          <w:right w:val="single" w:color="auto" w:sz="4"/>
          <w:insideH w:val="single" w:color="auto" w:sz="4"/>
          <w:insideV w:val="single" w:color="auto" w:sz="4"/>
        </w:tblBorders>
      </w:tblPr>
      <w:tblGrid>
        <w:gridCol w:w="2000"/>
        <w:gridCol w:w="1400"/>
        <w:gridCol w:w="1200"/>
        <w:gridCol w:w="1200"/>
        <w:gridCol w:w="1200"/>
        <w:gridCol w:w="1400"/>
        <w:gridCol w:w="12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Multi-seed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Ablation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 test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Qiskit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Baum (2021)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quantum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Sivak (2022)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Real quantum</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This work</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Sim + Qiskit</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5 seeds</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V1-V4</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PID</w:t>
            </w:r>
          </w:p>
        </w:tc>
        <w:tc>
          <w:tcPr>
            <w:tcW w:type="dxa" w:w="1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Mann-Whitney</w:t>
            </w:r>
          </w:p>
        </w:tc>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Preliminary</w:t>
            </w:r>
          </w:p>
        </w:tc>
      </w:tr>
    </w:tbl>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VII. Hardware Implementation Roadmap</w:t>
      </w:r>
    </w:p>
    <w:p>
      <w:pPr>
        <w:spacing w:after="80" w:before="80" w:line="280"/>
      </w:pPr>
      <w:r>
        <w:rPr>
          <w:rFonts w:ascii="Arial" w:cs="Arial" w:eastAsia="Arial" w:hAnsi="Arial"/>
          <w:sz w:val="22"/>
          <w:szCs w:val="22"/>
        </w:rPr>
        <w:t xml:space="preserve">The complete hardware system has been designed, component-selected, and procured for physical implementation. The hardware deployment follows the five-phase integration plan described here. This section documents the planned deployment for completeness and serves as a roadmap for future work.</w:t>
      </w:r>
    </w:p>
    <w:p>
      <w:pPr>
        <w:spacing w:after="60" w:before="6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900"/>
        <w:gridCol w:w="1800"/>
        <w:gridCol w:w="2800"/>
        <w:gridCol w:w="386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activity</w:t>
            </w:r>
          </w:p>
        </w:tc>
        <w:tc>
          <w:tcPr>
            <w:tcW w:type="dxa" w:w="3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ESP32 + MCP4921 + MCP3202 + envelope detector circuit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Lorentzian sweep visible on oscilloscope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System identification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Measure real f₀, Q factor, drift rate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f₀, Q, drift_rate written back to resonator_model.py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Hardware-in-the-loop data collection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V4 Seed 3 on ResonatorEnvHardware for 500-1000 episodes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Transition dataset (s, a, s', r) collected</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Fine-tuning decision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Compare real f₀ and Q to simulation; choose Option A or B</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Option A (LR=5e-5) or Option B (domain randomisation)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Closed-loop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Seed 3 in continuous inference loop at 10-50 ms/step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Tracking demonstrated under varactor drift injection</w:t>
            </w:r>
          </w:p>
        </w:tc>
      </w:tr>
    </w:tbl>
    <w:p>
      <w:pPr>
        <w:spacing w:after="60" w:before="60" w:line="280"/>
      </w:pPr>
      <w:r>
        <w:t xml:space="preserve"/>
      </w:r>
    </w:p>
    <w:p>
      <w:pPr>
        <w:spacing w:after="80" w:before="80" w:line="280"/>
      </w:pPr>
      <w:r>
        <w:rPr>
          <w:rFonts w:ascii="Arial" w:cs="Arial" w:eastAsia="Arial" w:hAnsi="Arial"/>
          <w:sz w:val="22"/>
          <w:szCs w:val="22"/>
        </w:rPr>
        <w:t xml:space="preserve">Component specifications: ESP32 DevKit V1 microcontroller; MCP4921 12-bit SPI DAC (waveform generation); MCP3202 12-bit SPI ADC (amplitude measurement); OPA2134 precision op-amp for envelope detector; BB909/MV209 varactor diode for frequency drift; 10 µH shielded RF inductor with DCR &lt; 0.6 Ω; BAT54 Schottky rectifier diode (mandatory at 556 kHz — 1N4148 forward drop is disqualifying); 100 nF C0G/NP0 capacitors throughout (X7R prohibited in RF paths due to temperature-dependent drift).</w:t>
      </w:r>
    </w:p>
    <w:p>
      <w:pPr>
        <w:spacing w:after="60" w:before="60" w:line="280"/>
      </w:pPr>
      <w:r>
        <w:t xml:space="preserve"/>
      </w:r>
    </w:p>
    <w:p>
      <w:pPr>
        <w:spacing w:after="80" w:before="80" w:line="280"/>
      </w:pPr>
      <w:r>
        <w:rPr>
          <w:rFonts w:ascii="Arial" w:cs="Arial" w:eastAsia="Arial" w:hAnsi="Arial"/>
          <w:sz w:val="22"/>
          <w:szCs w:val="22"/>
        </w:rPr>
        <w:t xml:space="preserve">The envelope detector — the most critical and most failure-prone subcircuit — converts the 556 kHz AC resonator output to a proportional DC voltage readable by the MCP3202. The signal chain is: BAT54 rectifier → 0.1 µF film hold capacitor → 33 kΩ + 100 nF C0G low-pass filter (f_c ≈ 48 Hz) → OPA2134 unity-gain buffer. The 48 Hz cutoff provides sufficient smoothing of the rectified envelope while remaining fast enough to track amplitude changes at the agent's 10-50 ms control cycle rate.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VIII. Conclusion</w:t>
      </w:r>
    </w:p>
    <w:p>
      <w:pPr>
        <w:spacing w:after="80" w:before="80" w:line="280"/>
      </w:pPr>
      <w:r>
        <w:rPr>
          <w:rFonts w:ascii="Arial" w:cs="Arial" w:eastAsia="Arial" w:hAnsi="Arial"/>
          <w:sz w:val="22"/>
          <w:szCs w:val="22"/>
        </w:rPr>
        <w:t xml:space="preserve">This paper has demonstrated that a single gradient-augmented observation element — the normalised amplitude gradient amp_gradient = Δamp / (|prev_action| + ε) — provides statistically significant and mechanistically interpretable improvement in RL-based resonator frequency tracking under unpredictable Gaussian drift (Mann-Whitney p &lt; 0.001). The improvement is attributable to the resolution of a fundamental directional ambiguity in the symmetric Lorentzian response, which cannot be resolved by amplitude-only observations.</w:t>
      </w:r>
    </w:p>
    <w:p>
      <w:pPr>
        <w:spacing w:after="60" w:before="60" w:line="280"/>
      </w:pPr>
      <w:r>
        <w:t xml:space="preserve"/>
      </w:r>
    </w:p>
    <w:p>
      <w:pPr>
        <w:spacing w:after="80" w:before="80" w:line="280"/>
      </w:pPr>
      <w:r>
        <w:rPr>
          <w:rFonts w:ascii="Arial" w:cs="Arial" w:eastAsia="Arial" w:hAnsi="Arial"/>
          <w:sz w:val="22"/>
          <w:szCs w:val="22"/>
        </w:rPr>
        <w:t xml:space="preserve">The null result under Ornstein-Uhlenbeck drift (p = 1.000) is not a failure but a mechanistically informative control: it confirms that gradient augmentation is most valuable precisely when drift is unpredictable and large excursions are possible. The classical PID baseline demonstrates that the advantage of gradient information is structural — PID's tenfold higher variance under Gaussian drift reflects episodic catastrophic failure, not merely suboptimal tuning.</w:t>
      </w:r>
    </w:p>
    <w:p>
      <w:pPr>
        <w:spacing w:after="60" w:before="60" w:line="280"/>
      </w:pPr>
      <w:r>
        <w:t xml:space="preserve"/>
      </w:r>
    </w:p>
    <w:p>
      <w:pPr>
        <w:spacing w:after="80" w:before="80" w:line="280"/>
      </w:pPr>
      <w:r>
        <w:rPr>
          <w:rFonts w:ascii="Arial" w:cs="Arial" w:eastAsia="Arial" w:hAnsi="Arial"/>
          <w:sz w:val="22"/>
          <w:szCs w:val="22"/>
        </w:rPr>
        <w:t xml:space="preserve">The Qiskit Aer transfer study provides a preliminary characterisation of the sim-to-quantum deployment gap, identifying three specific root causes (noise distribution shift, VecNormalize statistics mismatch, EMA transient bias) and demonstrating partial recovery through the proposed QACT fine-tuning methodology. This characterisation provides concrete design recommendations for future quantum-native RL calibration systems.</w:t>
      </w:r>
    </w:p>
    <w:p>
      <w:pPr>
        <w:spacing w:after="60" w:before="60" w:line="280"/>
      </w:pPr>
      <w:r>
        <w:t xml:space="preserve"/>
      </w:r>
    </w:p>
    <w:p>
      <w:pPr>
        <w:spacing w:after="80" w:before="80" w:line="280"/>
      </w:pPr>
      <w:r>
        <w:rPr>
          <w:rFonts w:ascii="Arial" w:cs="Arial" w:eastAsia="Arial" w:hAnsi="Arial"/>
          <w:sz w:val="22"/>
          <w:szCs w:val="22"/>
        </w:rPr>
        <w:t xml:space="preserve">Future work will complete the physical hardware deployment using the designed ESP32-based circuit, providing closed-loop experimental validation of the simulation-trained policy and the sim-to-real transfer protocol. Extension to multi-parameter pulse optimisation — incorporating pulse amplitude, duration, and waveform shape as additional action dimensions — would bring the system closer to the full gate calibration problem in quantum processors.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References</w:t>
      </w:r>
    </w:p>
    <w:p>
      <w:pPr>
        <w:spacing w:after="80" w:before="80" w:line="280"/>
      </w:pPr>
      <w:r>
        <w:rPr>
          <w:rFonts w:ascii="Arial" w:cs="Arial" w:eastAsia="Arial" w:hAnsi="Arial"/>
          <w:sz w:val="22"/>
          <w:szCs w:val="22"/>
        </w:rPr>
        <w:t xml:space="preserve">[1] J. Kelly et al., 'Optimal Quantum Control using Randomized Benchmarking,' Physical Review Letters, vol. 112, p. 240504, 2014.</w:t>
      </w:r>
    </w:p>
    <w:p>
      <w:pPr>
        <w:spacing w:after="80" w:before="80" w:line="280"/>
      </w:pPr>
      <w:r>
        <w:rPr>
          <w:rFonts w:ascii="Arial" w:cs="Arial" w:eastAsia="Arial" w:hAnsi="Arial"/>
          <w:sz w:val="22"/>
          <w:szCs w:val="22"/>
        </w:rPr>
        <w:t xml:space="preserve">[2] V. Mnih et al., 'Human-level Control through Deep Reinforcement Learning,' Nature, vol. 518, pp. 529–533, 2015.</w:t>
      </w:r>
    </w:p>
    <w:p>
      <w:pPr>
        <w:spacing w:after="80" w:before="80" w:line="280"/>
      </w:pPr>
      <w:r>
        <w:rPr>
          <w:rFonts w:ascii="Arial" w:cs="Arial" w:eastAsia="Arial" w:hAnsi="Arial"/>
          <w:sz w:val="22"/>
          <w:szCs w:val="22"/>
        </w:rPr>
        <w:t xml:space="preserve">[3] J. Schulman et al., 'Proximal Policy Optimization Algorithms,' arXiv:1707.06347, 2017.</w:t>
      </w:r>
    </w:p>
    <w:p>
      <w:pPr>
        <w:spacing w:after="80" w:before="80" w:line="280"/>
      </w:pPr>
      <w:r>
        <w:rPr>
          <w:rFonts w:ascii="Arial" w:cs="Arial" w:eastAsia="Arial" w:hAnsi="Arial"/>
          <w:sz w:val="22"/>
          <w:szCs w:val="22"/>
        </w:rPr>
        <w:t xml:space="preserve">[4] Y. Baum et al., 'Experimental Deep Reinforcement Learning for Error-Robust Gate-Set Design,' PRX Quantum, vol. 2, p. 040324, 2021.</w:t>
      </w:r>
    </w:p>
    <w:p>
      <w:pPr>
        <w:spacing w:after="80" w:before="80" w:line="280"/>
      </w:pPr>
      <w:r>
        <w:rPr>
          <w:rFonts w:ascii="Arial" w:cs="Arial" w:eastAsia="Arial" w:hAnsi="Arial"/>
          <w:sz w:val="22"/>
          <w:szCs w:val="22"/>
        </w:rPr>
        <w:t xml:space="preserve">[5] R. Porotti et al., 'Coherent Transport of Quantum States by Deep Reinforcement Learning,' Communications Physics, vol. 2, p. 61, 2019.</w:t>
      </w:r>
    </w:p>
    <w:p>
      <w:pPr>
        <w:spacing w:after="80" w:before="80" w:line="280"/>
      </w:pPr>
      <w:r>
        <w:rPr>
          <w:rFonts w:ascii="Arial" w:cs="Arial" w:eastAsia="Arial" w:hAnsi="Arial"/>
          <w:sz w:val="22"/>
          <w:szCs w:val="22"/>
        </w:rPr>
        <w:t xml:space="preserve">[6] P. Krantz et al., 'A Quantum Engineer's Guide to Superconducting Qubits,' Applied Physics Reviews, vol. 6, p. 021318, 2019.</w:t>
      </w:r>
    </w:p>
    <w:p>
      <w:pPr>
        <w:spacing w:after="80" w:before="80" w:line="280"/>
      </w:pPr>
      <w:r>
        <w:rPr>
          <w:rFonts w:ascii="Arial" w:cs="Arial" w:eastAsia="Arial" w:hAnsi="Arial"/>
          <w:sz w:val="22"/>
          <w:szCs w:val="22"/>
        </w:rPr>
        <w:t xml:space="preserve">[7] V. Sivak et al., 'Model-Free Quantum Control with Reinforcement Learning,' Physical Review X, vol. 12, p. 011059, 2022.</w:t>
      </w:r>
    </w:p>
    <w:p>
      <w:pPr>
        <w:spacing w:after="80" w:before="80" w:line="280"/>
      </w:pPr>
      <w:r>
        <w:rPr>
          <w:rFonts w:ascii="Arial" w:cs="Arial" w:eastAsia="Arial" w:hAnsi="Arial"/>
          <w:sz w:val="22"/>
          <w:szCs w:val="22"/>
        </w:rPr>
        <w:t xml:space="preserve">[8] D. M. Pozar, Microwave Engineering, 4th ed. Hoboken, NJ: Wiley, 2011.</w:t>
      </w:r>
    </w:p>
    <w:p>
      <w:pPr>
        <w:spacing w:after="80" w:before="80" w:line="280"/>
      </w:pPr>
      <w:r>
        <w:rPr>
          <w:rFonts w:ascii="Arial" w:cs="Arial" w:eastAsia="Arial" w:hAnsi="Arial"/>
          <w:sz w:val="22"/>
          <w:szCs w:val="22"/>
        </w:rPr>
        <w:t xml:space="preserve">[9] M. Dalgaard et al., 'Global Optimization of Quantum Dynamics with AlphaZero Deep Exploration,' npj Quantum Information, vol. 6, p. 6, 2020.</w:t>
      </w:r>
    </w:p>
    <w:p>
      <w:pPr>
        <w:spacing w:after="80" w:before="80" w:line="280"/>
      </w:pPr>
      <w:r>
        <w:rPr>
          <w:rFonts w:ascii="Arial" w:cs="Arial" w:eastAsia="Arial" w:hAnsi="Arial"/>
          <w:sz w:val="22"/>
          <w:szCs w:val="22"/>
        </w:rPr>
        <w:t xml:space="preserve">[10] A. Raffin et al., 'Stable-Baselines3: Reliable Reinforcement Learning Implementations,' Journal of Machine Learning Research, vol. 22, pp. 1–8, 2021.</w:t>
      </w:r>
    </w:p>
    <w:p>
      <w:pPr>
        <w:spacing w:after="60" w:before="60" w:line="280"/>
      </w:pPr>
      <w:r>
        <w:t xml:space="preserve"/>
      </w:r>
    </w:p>
    <w:p>
      <w:pPr>
        <w:pBdr>
          <w:bottom w:val="single" w:color="DDDDDD" w:sz="3"/>
        </w:pBdr>
        <w:spacing w:after="80" w:before="8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NOTE FOR SUBMISSION: Fill [X], [Y], [Z] placeholders in Table V after running phase3_evaluate_v4.py. Update the Mann-Whitney computed U-statistic value in Section IV-C. Add seed-specific MAE values in Section IV-D once the full seed table is available. Remove all [CITE: ...] placeholders and replace with proper IEEE citation numbers.</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Paper Draft  |  Autonomous RL for Adaptive Resonator Calibration  |  IEEE Access / IEEE SPL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2026-04-17T12:16:57.646Z</dcterms:created>
  <dcterms:modified xsi:type="dcterms:W3CDTF">2026-04-17T12:16:57.646Z</dcterms:modified>
</cp:coreProperties>
</file>

<file path=docProps/custom.xml><?xml version="1.0" encoding="utf-8"?>
<Properties xmlns="http://schemas.openxmlformats.org/officeDocument/2006/custom-properties" xmlns:vt="http://schemas.openxmlformats.org/officeDocument/2006/docPropsVTypes"/>
</file>