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b/>
          <w:bCs/>
          <w:sz w:val="24"/>
          <w:szCs w:val="24"/>
        </w:rPr>
        <w:t xml:space="preserve">Observation-Space Gradient Augmentation for Reinforcement Learning-Based Resonator Frequency Tracking: A Classical Analogue for Quantum Hardware Calibration</w:t>
      </w:r>
    </w:p>
    <w:p>
      <w:pPr>
        <w:spacing w:after="60" w:before="60"/>
        <w:jc w:val="center"/>
      </w:pPr>
      <w:r>
        <w:rPr>
          <w:rFonts w:ascii="Times New Roman" w:cs="Times New Roman" w:eastAsia="Times New Roman" w:hAnsi="Times New Roman"/>
          <w:i/>
          <w:iCs/>
          <w:sz w:val="20"/>
          <w:szCs w:val="20"/>
        </w:rPr>
        <w:t xml:space="preserve">Akash Kishore, Aadidev Raja K, Adithi H P, Khushi Patil</w:t>
      </w:r>
    </w:p>
    <w:p>
      <w:pPr>
        <w:spacing w:after="20" w:before="20"/>
        <w:jc w:val="center"/>
      </w:pPr>
      <w:r>
        <w:rPr>
          <w:rFonts w:ascii="Times New Roman" w:cs="Times New Roman" w:eastAsia="Times New Roman" w:hAnsi="Times New Roman"/>
          <w:sz w:val="20"/>
          <w:szCs w:val="20"/>
        </w:rPr>
        <w:t xml:space="preserve">Department of Electronics and Telecommunication Engineering</w:t>
      </w:r>
    </w:p>
    <w:p>
      <w:pPr>
        <w:spacing w:after="20" w:before="20"/>
        <w:jc w:val="center"/>
      </w:pPr>
      <w:r>
        <w:rPr>
          <w:rFonts w:ascii="Times New Roman" w:cs="Times New Roman" w:eastAsia="Times New Roman" w:hAnsi="Times New Roman"/>
          <w:sz w:val="20"/>
          <w:szCs w:val="20"/>
        </w:rPr>
        <w:t xml:space="preserve">Dayananda Sagar College of Engineering, Bengaluru, India</w:t>
      </w:r>
    </w:p>
    <w:p>
      <w:pPr>
        <w:spacing w:after="100" w:before="20"/>
        <w:jc w:val="center"/>
      </w:pPr>
      <w:r>
        <w:rPr>
          <w:rFonts w:ascii="Times New Roman" w:cs="Times New Roman" w:eastAsia="Times New Roman" w:hAnsi="Times New Roman"/>
          <w:i/>
          <w:iCs/>
          <w:sz w:val="20"/>
          <w:szCs w:val="20"/>
        </w:rPr>
        <w:t xml:space="preserve">Under the guidance of Dr. Jugul Kishore</w:t>
      </w:r>
    </w:p>
    <w:p>
      <w:pPr>
        <w:spacing w:after="80" w:before="160"/>
      </w:pPr>
      <w:r>
        <w:rPr>
          <w:rFonts w:ascii="Times New Roman" w:cs="Times New Roman" w:eastAsia="Times New Roman" w:hAnsi="Times New Roman"/>
          <w:b/>
          <w:bCs/>
          <w:caps/>
          <w:sz w:val="20"/>
          <w:szCs w:val="20"/>
        </w:rPr>
        <w:t xml:space="preserve">Abstract</w:t>
      </w:r>
    </w:p>
    <w:p>
      <w:pPr>
        <w:spacing w:after="80" w:before="80"/>
        <w:ind/>
        <w:jc w:val="both"/>
      </w:pPr>
      <w:r>
        <w:rPr>
          <w:rFonts w:ascii="Times New Roman" w:cs="Times New Roman" w:eastAsia="Times New Roman" w:hAnsi="Times New Roman"/>
          <w:b w:val="false"/>
          <w:bCs w:val="false"/>
          <w:i w:val="false"/>
          <w:iCs w:val="false"/>
          <w:sz w:val="20"/>
          <w:szCs w:val="20"/>
        </w:rPr>
        <w:t xml:space="preserve">Autonomous frequency calibration of resonant systems sits at the unglamorous centre of quantum computing infrastructure — microwave control pulses must continuously chase drifting qubit transition frequencies through stochastic noise, and the margin for error is kilohertz-thin. Classical feedback controllers break down here for a structural reason, not a tuning one: the Lorentzian amplitude response is symmetric about the peak, so amplitude alone cannot tell a controller whether the probe frequency is drifting above or below resonance. This paper introduces a gradient-augmented observation space for Proximal Policy Optimization (PPO)-based resonator tracking. The added term — a normalised amplitude gradient computed as Δamp divided by the magnitude of the previous frequency step — hands the agent explicit directional information it would otherwise have to laboriously infer from temporal context. Using a classical LC resonator with varactor-based frequency drift as a physically grounded stand-in for superconducting qubit detuning, we tested four observation-space variants across two noise regimes (Gaussian random walk and Ornstein-Uhlenbeck) with five independent seeds and Mann-Whitney statistical validation. The proposed V4 agent hits a mean absolute frequency error of 1510 ± 367 Hz and stays within the near-resonance band 94.8% of the time under Gaussian drift — versus 3333 ± 1932 Hz / 64.5% for the gradient-free V3 baseline (Mann-Whitney p &lt; 0.001), and 3600 ± 5241 Hz / 83.1% for a classical PID controller whose tenfold higher standard deviation betrays episodic, not systematic, failure. Under Ornstein-Uhlenbeck drift the gradient term contributes nothing measurable (p = 1.000), which is mechanistically expected: OU's mean-reverting pull limits how far the resonant frequency can stray, so the directional ambiguity rarely becomes acute. As a preliminary look at deployment, we transferred the trained agent to a Qiskit Aer quantum circuit simulator, characterised the distributional gap, and recovered partial performance through Quantum-Aware Continued Training (QACT). The results position gradient augmentation as a structurally motivated, statistically solid observation design choice with direct relevance to autonomous quantum hardware calibration.</w:t>
      </w:r>
    </w:p>
    <w:p>
      <w:pPr>
        <w:spacing w:after="120" w:before="80"/>
        <w:ind/>
        <w:jc w:val="left"/>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b w:val="false"/>
          <w:bCs w:val="false"/>
          <w:i w:val="false"/>
          <w:iCs w:val="false"/>
          <w:sz w:val="20"/>
          <w:szCs w:val="20"/>
        </w:rPr>
        <w:t xml:space="preserve"> — Reinforcement Learning, Proximal Policy Optimization, LC Resonator, Frequency Tracking, Quantum Hardware Calibration, Observation Space Design, Ornstein-Uhlenbeck Process, Statistical Testing, Qiskit Aer</w:t>
      </w:r>
    </w:p>
    <w:p>
      <w:pPr>
        <w:spacing w:after="80" w:before="160"/>
      </w:pPr>
      <w:r>
        <w:rPr>
          <w:rFonts w:ascii="Times New Roman" w:cs="Times New Roman" w:eastAsia="Times New Roman" w:hAnsi="Times New Roman"/>
          <w:b/>
          <w:bCs/>
          <w:caps/>
          <w:sz w:val="20"/>
          <w:szCs w:val="20"/>
        </w:rPr>
        <w:t xml:space="preserve">I.  Introduction</w:t>
      </w:r>
    </w:p>
    <w:p>
      <w:pPr>
        <w:spacing w:after="80" w:before="80"/>
        <w:ind/>
        <w:jc w:val="both"/>
      </w:pPr>
      <w:r>
        <w:rPr>
          <w:rFonts w:ascii="Times New Roman" w:cs="Times New Roman" w:eastAsia="Times New Roman" w:hAnsi="Times New Roman"/>
          <w:b w:val="false"/>
          <w:bCs w:val="false"/>
          <w:i w:val="false"/>
          <w:iCs w:val="false"/>
          <w:sz w:val="20"/>
          <w:szCs w:val="20"/>
        </w:rPr>
        <w:t xml:space="preserve">Superconducting transmon qubit processors are, at bottom, very fussy radio receivers. The resonant transition frequency of each qubit drifts — due to flux noise, charge noise, thermal fluctuations, material aging — at rates typically in the kilohertz-per-second range. At the scale of modern processors, hundreds to thousands of qubits, manually recalibrating these frequencies through brute-force spectroscopic sweeps is computationally intractable. Some form of autonomous, closed-loop tracking is not a nice-to-have; it is a prerequisite for sustained coherent operation.</w:t>
      </w:r>
    </w:p>
    <w:p>
      <w:pPr>
        <w:spacing w:after="80" w:before="80"/>
        <w:ind/>
        <w:jc w:val="both"/>
      </w:pPr>
      <w:r>
        <w:rPr>
          <w:rFonts w:ascii="Times New Roman" w:cs="Times New Roman" w:eastAsia="Times New Roman" w:hAnsi="Times New Roman"/>
          <w:b w:val="false"/>
          <w:bCs w:val="false"/>
          <w:i w:val="false"/>
          <w:iCs w:val="false"/>
          <w:sz w:val="20"/>
          <w:szCs w:val="20"/>
        </w:rPr>
        <w:t xml:space="preserve">The calibration task reduces to resonance tracking under partial observability. The control system receives only the scalar amplitude output of the resonator; the actual resonant frequency is never directly readable. This matters because the Lorentzian amplitude profile is symmetric — any amplitude value below the peak is consistent with two probe positions, one on each flank. A classical PID controller, which generates a corrective signal from amplitude error alone, cannot resolve this ambiguity. When drift carries the probe past the peak and the controller keeps pushing in the wrong direction, the result is not gradual degradation but hard, episodic failure.</w:t>
      </w:r>
    </w:p>
    <w:p>
      <w:pPr>
        <w:spacing w:after="80" w:before="80"/>
        <w:ind/>
        <w:jc w:val="both"/>
      </w:pPr>
      <w:r>
        <w:rPr>
          <w:rFonts w:ascii="Times New Roman" w:cs="Times New Roman" w:eastAsia="Times New Roman" w:hAnsi="Times New Roman"/>
          <w:b w:val="false"/>
          <w:bCs w:val="false"/>
          <w:i w:val="false"/>
          <w:iCs w:val="false"/>
          <w:sz w:val="20"/>
          <w:szCs w:val="20"/>
        </w:rPr>
        <w:t xml:space="preserve">Reinforcement learning is a natural candidate for this setting: an RL policy can, in principle, exploit the temporal structure of sequential (action, observation) pairs to infer directional information absent from any single measurement. Prior work has demonstrated RL-based calibration on real superconducting hardware and in simulation [1]–[3]. What is missing from the literature is a systematic dissection of </w:t>
      </w:r>
      <w:r>
        <w:rPr>
          <w:rFonts w:ascii="Times New Roman" w:cs="Times New Roman" w:eastAsia="Times New Roman" w:hAnsi="Times New Roman"/>
          <w:b w:val="false"/>
          <w:bCs w:val="false"/>
          <w:i/>
          <w:iCs/>
          <w:sz w:val="20"/>
          <w:szCs w:val="20"/>
        </w:rPr>
        <w:t xml:space="preserve">which</w:t>
      </w:r>
      <w:r>
        <w:rPr>
          <w:rFonts w:ascii="Times New Roman" w:cs="Times New Roman" w:eastAsia="Times New Roman" w:hAnsi="Times New Roman"/>
          <w:b w:val="false"/>
          <w:bCs w:val="false"/>
          <w:i w:val="false"/>
          <w:iCs w:val="false"/>
          <w:sz w:val="20"/>
          <w:szCs w:val="20"/>
        </w:rPr>
        <w:t xml:space="preserve"> observation components actually drive performance — none of the existing studies includes a proper ablation, a multi-seed evaluation, or a classical feedback baseline that makes the RL advantage concrete.</w:t>
      </w:r>
    </w:p>
    <w:p>
      <w:pPr>
        <w:spacing w:after="80" w:before="80"/>
        <w:ind/>
        <w:jc w:val="both"/>
      </w:pPr>
      <w:r>
        <w:rPr>
          <w:rFonts w:ascii="Times New Roman" w:cs="Times New Roman" w:eastAsia="Times New Roman" w:hAnsi="Times New Roman"/>
          <w:b w:val="false"/>
          <w:bCs w:val="false"/>
          <w:i w:val="false"/>
          <w:iCs w:val="false"/>
          <w:sz w:val="20"/>
          <w:szCs w:val="20"/>
        </w:rPr>
        <w:t xml:space="preserve">We address that gap directly. Our specific contributions are four:</w:t>
      </w:r>
    </w:p>
    <w:p>
      <w:pPr>
        <w:pStyle w:val="ListParagraph"/>
        <w:numPr>
          <w:ilvl w:val="0"/>
          <w:numId w:val="2"/>
        </w:numPr>
        <w:spacing w:after="40" w:before="40"/>
      </w:pPr>
      <w:r>
        <w:rPr>
          <w:rFonts w:ascii="Times New Roman" w:cs="Times New Roman" w:eastAsia="Times New Roman" w:hAnsi="Times New Roman"/>
          <w:b w:val="false"/>
          <w:bCs w:val="false"/>
          <w:i w:val="false"/>
          <w:iCs w:val="false"/>
          <w:sz w:val="20"/>
          <w:szCs w:val="20"/>
        </w:rPr>
        <w:t xml:space="preserve">A gradient-augmented observation vector that resolves the left-right ambiguity by providing the agent with a normalised local slope of the amplitude-vs-frequency curve.</w:t>
      </w:r>
    </w:p>
    <w:p>
      <w:pPr>
        <w:pStyle w:val="ListParagraph"/>
        <w:numPr>
          <w:ilvl w:val="0"/>
          <w:numId w:val="2"/>
        </w:numPr>
        <w:spacing w:after="40" w:before="40"/>
      </w:pPr>
      <w:r>
        <w:rPr>
          <w:rFonts w:ascii="Times New Roman" w:cs="Times New Roman" w:eastAsia="Times New Roman" w:hAnsi="Times New Roman"/>
          <w:b w:val="false"/>
          <w:bCs w:val="false"/>
          <w:i w:val="false"/>
          <w:iCs w:val="false"/>
          <w:sz w:val="20"/>
          <w:szCs w:val="20"/>
        </w:rPr>
        <w:t xml:space="preserve">A single-variable ablation (V3 vs. V4) across five seeds and two noise regimes, with Mann-Whitney U significance testing.</w:t>
      </w:r>
    </w:p>
    <w:p>
      <w:pPr>
        <w:pStyle w:val="ListParagraph"/>
        <w:numPr>
          <w:ilvl w:val="0"/>
          <w:numId w:val="2"/>
        </w:numPr>
        <w:spacing w:after="40" w:before="40"/>
      </w:pPr>
      <w:r>
        <w:rPr>
          <w:rFonts w:ascii="Times New Roman" w:cs="Times New Roman" w:eastAsia="Times New Roman" w:hAnsi="Times New Roman"/>
          <w:b w:val="false"/>
          <w:bCs w:val="false"/>
          <w:i w:val="false"/>
          <w:iCs w:val="false"/>
          <w:sz w:val="20"/>
          <w:szCs w:val="20"/>
        </w:rPr>
        <w:t xml:space="preserve">A PID baseline that quantifies, not just implies, the structural ceiling of amplitude-only feedback.</w:t>
      </w:r>
    </w:p>
    <w:p>
      <w:pPr>
        <w:pStyle w:val="ListParagraph"/>
        <w:numPr>
          <w:ilvl w:val="0"/>
          <w:numId w:val="2"/>
        </w:numPr>
        <w:spacing w:after="80" w:before="40"/>
      </w:pPr>
      <w:r>
        <w:rPr>
          <w:rFonts w:ascii="Times New Roman" w:cs="Times New Roman" w:eastAsia="Times New Roman" w:hAnsi="Times New Roman"/>
          <w:b w:val="false"/>
          <w:bCs w:val="false"/>
          <w:i w:val="false"/>
          <w:iCs w:val="false"/>
          <w:sz w:val="20"/>
          <w:szCs w:val="20"/>
        </w:rPr>
        <w:t xml:space="preserve">A preliminary sim-to-quantum transfer study using Qiskit Aer, identifying specific failure modes and demonstrating partial recovery.</w:t>
      </w:r>
    </w:p>
    <w:p>
      <w:pPr>
        <w:spacing w:after="80" w:before="160"/>
      </w:pPr>
      <w:r>
        <w:rPr>
          <w:rFonts w:ascii="Times New Roman" w:cs="Times New Roman" w:eastAsia="Times New Roman" w:hAnsi="Times New Roman"/>
          <w:b/>
          <w:bCs/>
          <w:caps/>
          <w:sz w:val="20"/>
          <w:szCs w:val="20"/>
        </w:rPr>
        <w:t xml:space="preserve">II.  System Model and Problem Formulation</w:t>
      </w:r>
    </w:p>
    <w:p>
      <w:pPr>
        <w:spacing w:after="60" w:before="120"/>
      </w:pPr>
      <w:r>
        <w:rPr>
          <w:rFonts w:ascii="Times New Roman" w:cs="Times New Roman" w:eastAsia="Times New Roman" w:hAnsi="Times New Roman"/>
          <w:b/>
          <w:bCs/>
          <w:i/>
          <w:iCs/>
          <w:sz w:val="20"/>
          <w:szCs w:val="20"/>
        </w:rPr>
        <w:t xml:space="preserve">A.  Physical System</w:t>
      </w:r>
    </w:p>
    <w:p>
      <w:pPr>
        <w:spacing w:after="80" w:before="80"/>
        <w:ind/>
        <w:jc w:val="both"/>
      </w:pPr>
      <w:r>
        <w:rPr>
          <w:rFonts w:ascii="Times New Roman" w:cs="Times New Roman" w:eastAsia="Times New Roman" w:hAnsi="Times New Roman"/>
          <w:b w:val="false"/>
          <w:bCs w:val="false"/>
          <w:i w:val="false"/>
          <w:iCs w:val="false"/>
          <w:sz w:val="20"/>
          <w:szCs w:val="20"/>
        </w:rPr>
        <w:t xml:space="preserve">The test bed is a parallel LC resonant tank circuit with a BB909/MV209 varactor diode providing voltage-controlled capacitance. Resonant frequency follows f₀ = 1/(2π√LC), where C(V) is set by the reverse-bias voltage applied through a PWM-driven RC filter (τ = 100 ms). The slow timescale of that filter is deliberate: it mimics the drift dynamics of thermal and magnetic-noise-driven qubit detuning, where frequency changes accumulate over hundreds of milliseconds rather than microseconds.</w:t>
      </w:r>
    </w:p>
    <w:p>
      <w:pPr>
        <w:spacing w:after="80" w:before="80"/>
        <w:ind/>
        <w:jc w:val="both"/>
      </w:pPr>
      <w:r>
        <w:rPr>
          <w:rFonts w:ascii="Times New Roman" w:cs="Times New Roman" w:eastAsia="Times New Roman" w:hAnsi="Times New Roman"/>
          <w:b w:val="false"/>
          <w:bCs w:val="false"/>
          <w:i w:val="false"/>
          <w:iCs w:val="false"/>
          <w:sz w:val="20"/>
          <w:szCs w:val="20"/>
        </w:rPr>
        <w:t xml:space="preserve">The amplitude response at probe frequency f is:   A(f) = 1 / [1 + Q² · ((f − f₀)/f₀)²]</w:t>
      </w:r>
    </w:p>
    <w:p>
      <w:pPr>
        <w:spacing w:after="80" w:before="80"/>
        <w:ind/>
        <w:jc w:val="both"/>
      </w:pPr>
      <w:r>
        <w:rPr>
          <w:rFonts w:ascii="Times New Roman" w:cs="Times New Roman" w:eastAsia="Times New Roman" w:hAnsi="Times New Roman"/>
          <w:b w:val="false"/>
          <w:bCs w:val="false"/>
          <w:i w:val="false"/>
          <w:iCs w:val="false"/>
          <w:sz w:val="20"/>
          <w:szCs w:val="20"/>
        </w:rPr>
        <w:t xml:space="preserve">with Q = 50, target resonance f₀ = 556 kHz, and probe range f₀ ± 25 kHz. Crucially, f₀ is never exposed to the controller. What the agent sees is A(f</w:t>
      </w:r>
    </w:p>
    <w:p>
      <w:pPr>
        <w:spacing w:after="80" w:before="80"/>
        <w:ind/>
        <w:jc w:val="both"/>
      </w:pPr>
      <w:r>
        <w:rPr>
          <w:rFonts w:ascii="Times New Roman" w:cs="Times New Roman" w:eastAsia="Times New Roman" w:hAnsi="Times New Roman"/>
          <w:b w:val="false"/>
          <w:bCs w:val="false"/>
          <w:i w:val="false"/>
          <w:iCs w:val="false"/>
          <w:sz w:val="20"/>
          <w:szCs w:val="20"/>
        </w:rPr>
        <w:t xml:space="preserve">probe(t)) — nothing else. This is the partial observability that makes the problem hard.</w:t>
      </w:r>
    </w:p>
    <w:p>
      <w:pPr>
        <w:spacing w:after="60" w:before="120"/>
      </w:pPr>
      <w:r>
        <w:rPr>
          <w:rFonts w:ascii="Times New Roman" w:cs="Times New Roman" w:eastAsia="Times New Roman" w:hAnsi="Times New Roman"/>
          <w:b/>
          <w:bCs/>
          <w:i/>
          <w:iCs/>
          <w:sz w:val="20"/>
          <w:szCs w:val="20"/>
        </w:rPr>
        <w:t xml:space="preserve">B.  Drift Models</w:t>
      </w:r>
    </w:p>
    <w:p>
      <w:pPr>
        <w:spacing w:after="80" w:before="80"/>
        <w:ind/>
        <w:jc w:val="both"/>
      </w:pPr>
      <w:r>
        <w:rPr>
          <w:rFonts w:ascii="Times New Roman" w:cs="Times New Roman" w:eastAsia="Times New Roman" w:hAnsi="Times New Roman"/>
          <w:b w:val="false"/>
          <w:bCs w:val="false"/>
          <w:i w:val="false"/>
          <w:iCs w:val="false"/>
          <w:sz w:val="20"/>
          <w:szCs w:val="20"/>
        </w:rPr>
        <w:t xml:space="preserve">Two qualitatively distinct noise processes were evaluated:</w:t>
      </w:r>
    </w:p>
    <w:p>
      <w:pPr>
        <w:pStyle w:val="ListParagraph"/>
        <w:numPr>
          <w:ilvl w:val="0"/>
          <w:numId w:val="2"/>
        </w:numPr>
        <w:spacing w:after="40" w:before="40"/>
      </w:pPr>
      <w:r>
        <w:rPr>
          <w:rFonts w:ascii="Times New Roman" w:cs="Times New Roman" w:eastAsia="Times New Roman" w:hAnsi="Times New Roman"/>
          <w:b/>
          <w:bCs/>
          <w:i w:val="false"/>
          <w:iCs w:val="false"/>
          <w:sz w:val="20"/>
          <w:szCs w:val="20"/>
        </w:rPr>
        <w:t xml:space="preserve">Gaussian random walk: </w:t>
      </w:r>
      <w:r>
        <w:rPr>
          <w:rFonts w:ascii="Times New Roman" w:cs="Times New Roman" w:eastAsia="Times New Roman" w:hAnsi="Times New Roman"/>
          <w:b w:val="false"/>
          <w:bCs w:val="false"/>
          <w:i w:val="false"/>
          <w:iCs w:val="false"/>
          <w:sz w:val="20"/>
          <w:szCs w:val="20"/>
        </w:rPr>
        <w:t xml:space="preserve">f₀(t) = f₀(t−1) + εₜ, where εₜ ~ N(0, σ²), σ = 500 Hz per step. Unpredictable, unbounded drift. Think cosmic ray events or supply-rail glitches.</w:t>
      </w:r>
    </w:p>
    <w:p>
      <w:pPr>
        <w:pStyle w:val="ListParagraph"/>
        <w:numPr>
          <w:ilvl w:val="0"/>
          <w:numId w:val="2"/>
        </w:numPr>
        <w:spacing w:after="80" w:before="40"/>
      </w:pPr>
      <w:r>
        <w:rPr>
          <w:rFonts w:ascii="Times New Roman" w:cs="Times New Roman" w:eastAsia="Times New Roman" w:hAnsi="Times New Roman"/>
          <w:b/>
          <w:bCs/>
          <w:i w:val="false"/>
          <w:iCs w:val="false"/>
          <w:sz w:val="20"/>
          <w:szCs w:val="20"/>
        </w:rPr>
        <w:t xml:space="preserve">Ornstein-Uhlenbeck process: </w:t>
      </w:r>
      <w:r>
        <w:rPr>
          <w:rFonts w:ascii="Times New Roman" w:cs="Times New Roman" w:eastAsia="Times New Roman" w:hAnsi="Times New Roman"/>
          <w:b w:val="false"/>
          <w:bCs w:val="false"/>
          <w:i w:val="false"/>
          <w:iCs w:val="false"/>
          <w:sz w:val="20"/>
          <w:szCs w:val="20"/>
        </w:rPr>
        <w:t xml:space="preserve">f₀(t) = f₀(t−1) + θ(μ − f₀(t−1)) + σ_OU · ηₜ, with mean-reversion rate θ = 0.15. Models slowly equilibrating environments — thermal drift that tends to settle rather than wander indefinitely.</w:t>
      </w:r>
    </w:p>
    <w:p>
      <w:pPr>
        <w:spacing w:after="60" w:before="120"/>
      </w:pPr>
      <w:r>
        <w:rPr>
          <w:rFonts w:ascii="Times New Roman" w:cs="Times New Roman" w:eastAsia="Times New Roman" w:hAnsi="Times New Roman"/>
          <w:b/>
          <w:bCs/>
          <w:i/>
          <w:iCs/>
          <w:sz w:val="20"/>
          <w:szCs w:val="20"/>
        </w:rPr>
        <w:t xml:space="preserve">C.  MDP Formulation</w:t>
      </w:r>
    </w:p>
    <w:p>
      <w:pPr>
        <w:spacing w:after="80" w:before="80"/>
        <w:ind/>
        <w:jc w:val="both"/>
      </w:pPr>
      <w:r>
        <w:rPr>
          <w:rFonts w:ascii="Times New Roman" w:cs="Times New Roman" w:eastAsia="Times New Roman" w:hAnsi="Times New Roman"/>
          <w:b w:val="false"/>
          <w:bCs w:val="false"/>
          <w:i w:val="false"/>
          <w:iCs w:val="false"/>
          <w:sz w:val="20"/>
          <w:szCs w:val="20"/>
        </w:rPr>
        <w:t xml:space="preserve">The tracking task is formalised as a discrete-time Markov Decision Process. Table I summarises the components.</w:t>
      </w:r>
    </w:p>
    <w:p>
      <w:pPr>
        <w:spacing w:after="40" w:before="0"/>
      </w:pPr>
      <w:r>
        <w:t xml:space="preserve"/>
      </w:r>
    </w:p>
    <w:p>
      <w:pPr>
        <w:spacing w:after="40" w:before="60"/>
        <w:jc w:val="center"/>
      </w:pPr>
      <w:r>
        <w:rPr>
          <w:rFonts w:ascii="Times New Roman" w:cs="Times New Roman" w:eastAsia="Times New Roman" w:hAnsi="Times New Roman"/>
          <w:b/>
          <w:bCs/>
          <w:sz w:val="18"/>
          <w:szCs w:val="18"/>
        </w:rPr>
        <w:t xml:space="preserve">TABLE I:  MDP Components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300"/>
        <w:gridCol w:w="2800"/>
      </w:tblGrid>
      <w:tr>
        <w:tc>
          <w:tcPr>
            <w:tcW w:type="dxa" w:w="20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Component</w:t>
            </w:r>
          </w:p>
        </w:tc>
        <w:tc>
          <w:tcPr>
            <w:tcW w:type="dxa" w:w="43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Definition</w:t>
            </w:r>
          </w:p>
        </w:tc>
        <w:tc>
          <w:tcPr>
            <w:tcW w:type="dxa" w:w="28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Range / Value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State sₜ</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[amp, f_err_norm, prev_a, Δamp, amp_gradient]</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5-element vector</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Action aₜ</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Normalised frequency step</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aₜ ∈ [−1, +1]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Freq. mapping</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f_probe(t) = f_probe(t−1) + aₜ × 3000 Hz</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±3000 Hz/step</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Reward rₜ</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Lorentzian amplitude at current probe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rₜ = A(f, f₀) ∈ [0,1]</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Episode horizon</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Fixed length</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200 steps</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Freq. boundary</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Hard clamp at window edges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[475, 525] kHz</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Drift sigma</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Per-step noise std.</w:t>
            </w:r>
          </w:p>
        </w:tc>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500 Hz/step (Gaussian)</w:t>
            </w:r>
          </w:p>
        </w:tc>
      </w:tr>
    </w:tbl>
    <w:p>
      <w:pPr>
        <w:spacing w:after="80" w:before="0"/>
      </w:pPr>
      <w:r>
        <w:t xml:space="preserve"/>
      </w:r>
    </w:p>
    <w:p>
      <w:pPr>
        <w:spacing w:after="80" w:before="160"/>
      </w:pPr>
      <w:r>
        <w:rPr>
          <w:rFonts w:ascii="Times New Roman" w:cs="Times New Roman" w:eastAsia="Times New Roman" w:hAnsi="Times New Roman"/>
          <w:b/>
          <w:bCs/>
          <w:caps/>
          <w:sz w:val="20"/>
          <w:szCs w:val="20"/>
        </w:rPr>
        <w:t xml:space="preserve">III.  Proposed Method</w:t>
      </w:r>
    </w:p>
    <w:p>
      <w:pPr>
        <w:spacing w:after="60" w:before="120"/>
      </w:pPr>
      <w:r>
        <w:rPr>
          <w:rFonts w:ascii="Times New Roman" w:cs="Times New Roman" w:eastAsia="Times New Roman" w:hAnsi="Times New Roman"/>
          <w:b/>
          <w:bCs/>
          <w:i/>
          <w:iCs/>
          <w:sz w:val="20"/>
          <w:szCs w:val="20"/>
        </w:rPr>
        <w:t xml:space="preserve">A.  The Directional Ambiguity Problem</w:t>
      </w:r>
    </w:p>
    <w:p>
      <w:pPr>
        <w:spacing w:after="80" w:before="80"/>
        <w:ind/>
        <w:jc w:val="both"/>
      </w:pPr>
      <w:r>
        <w:rPr>
          <w:rFonts w:ascii="Times New Roman" w:cs="Times New Roman" w:eastAsia="Times New Roman" w:hAnsi="Times New Roman"/>
          <w:b w:val="false"/>
          <w:bCs w:val="false"/>
          <w:i w:val="false"/>
          <w:iCs w:val="false"/>
          <w:sz w:val="20"/>
          <w:szCs w:val="20"/>
        </w:rPr>
        <w:t xml:space="preserve">Here is the core issue stated bluntly. Suppose the agent is sitting at probe frequency f</w:t>
      </w:r>
    </w:p>
    <w:p>
      <w:pPr>
        <w:spacing w:after="80" w:before="80"/>
        <w:ind/>
        <w:jc w:val="both"/>
      </w:pPr>
      <w:r>
        <w:rPr>
          <w:rFonts w:ascii="Times New Roman" w:cs="Times New Roman" w:eastAsia="Times New Roman" w:hAnsi="Times New Roman"/>
          <w:b w:val="false"/>
          <w:bCs w:val="false"/>
          <w:i w:val="false"/>
          <w:iCs w:val="false"/>
          <w:sz w:val="20"/>
          <w:szCs w:val="20"/>
        </w:rPr>
        <w:t xml:space="preserve">probe and reads A = 0.75. By the Lorentzian symmetry, this observation is consistent with f</w:t>
      </w:r>
    </w:p>
    <w:p>
      <w:pPr>
        <w:spacing w:after="80" w:before="80"/>
        <w:ind/>
        <w:jc w:val="both"/>
      </w:pPr>
      <w:r>
        <w:rPr>
          <w:rFonts w:ascii="Times New Roman" w:cs="Times New Roman" w:eastAsia="Times New Roman" w:hAnsi="Times New Roman"/>
          <w:b w:val="false"/>
          <w:bCs w:val="false"/>
          <w:i w:val="false"/>
          <w:iCs w:val="false"/>
          <w:sz w:val="20"/>
          <w:szCs w:val="20"/>
        </w:rPr>
        <w:t xml:space="preserve">probe = f₀ + Δ and f</w:t>
      </w:r>
    </w:p>
    <w:p>
      <w:pPr>
        <w:spacing w:after="80" w:before="80"/>
        <w:ind/>
        <w:jc w:val="both"/>
      </w:pPr>
      <w:r>
        <w:rPr>
          <w:rFonts w:ascii="Times New Roman" w:cs="Times New Roman" w:eastAsia="Times New Roman" w:hAnsi="Times New Roman"/>
          <w:b w:val="false"/>
          <w:bCs w:val="false"/>
          <w:i w:val="false"/>
          <w:iCs w:val="false"/>
          <w:sz w:val="20"/>
          <w:szCs w:val="20"/>
        </w:rPr>
        <w:t xml:space="preserve">probe = f₀ − Δ for some Δ &gt; 0. One of those positions is correct. The agent, from A alone, has no idea which. The Lorentzian gradient ∂A/∂f</w:t>
      </w:r>
    </w:p>
    <w:p>
      <w:pPr>
        <w:spacing w:after="80" w:before="80"/>
        <w:ind/>
        <w:jc w:val="both"/>
      </w:pPr>
      <w:r>
        <w:rPr>
          <w:rFonts w:ascii="Times New Roman" w:cs="Times New Roman" w:eastAsia="Times New Roman" w:hAnsi="Times New Roman"/>
          <w:b w:val="false"/>
          <w:bCs w:val="false"/>
          <w:i w:val="false"/>
          <w:iCs w:val="false"/>
          <w:sz w:val="20"/>
          <w:szCs w:val="20"/>
        </w:rPr>
        <w:t xml:space="preserve">probe has opposite signs on the two flanks — negative above the peak, positive below — so an agent that can estimate the local slope can immediately disambiguate its position. That is the entire motivation for gradient augmentation. Everything else follows from it.</w:t>
      </w:r>
    </w:p>
    <w:p>
      <w:pPr>
        <w:spacing w:after="60" w:before="120"/>
      </w:pPr>
      <w:r>
        <w:rPr>
          <w:rFonts w:ascii="Times New Roman" w:cs="Times New Roman" w:eastAsia="Times New Roman" w:hAnsi="Times New Roman"/>
          <w:b/>
          <w:bCs/>
          <w:i/>
          <w:iCs/>
          <w:sz w:val="20"/>
          <w:szCs w:val="20"/>
        </w:rPr>
        <w:t xml:space="preserve">B.  Observation Space Design</w:t>
      </w:r>
    </w:p>
    <w:p>
      <w:pPr>
        <w:spacing w:after="80" w:before="80"/>
        <w:ind/>
        <w:jc w:val="both"/>
      </w:pPr>
      <w:r>
        <w:rPr>
          <w:rFonts w:ascii="Times New Roman" w:cs="Times New Roman" w:eastAsia="Times New Roman" w:hAnsi="Times New Roman"/>
          <w:b w:val="false"/>
          <w:bCs w:val="false"/>
          <w:i w:val="false"/>
          <w:iCs w:val="false"/>
          <w:sz w:val="20"/>
          <w:szCs w:val="20"/>
        </w:rPr>
        <w:t xml:space="preserve">Four variants were built through strictly single-variable ablation: each version adds one and only one element to the previous, so attribution is unambiguous. Table II shows the progression.</w:t>
      </w:r>
    </w:p>
    <w:p>
      <w:pPr>
        <w:spacing w:after="40" w:before="0"/>
      </w:pPr>
      <w:r>
        <w:t xml:space="preserve"/>
      </w:r>
    </w:p>
    <w:p>
      <w:pPr>
        <w:spacing w:after="40" w:before="60"/>
        <w:jc w:val="center"/>
      </w:pPr>
      <w:r>
        <w:rPr>
          <w:rFonts w:ascii="Times New Roman" w:cs="Times New Roman" w:eastAsia="Times New Roman" w:hAnsi="Times New Roman"/>
          <w:b/>
          <w:bCs/>
          <w:sz w:val="18"/>
          <w:szCs w:val="18"/>
        </w:rPr>
        <w:t xml:space="preserve">TABLE II:  Observation Space Evolution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200"/>
        <w:gridCol w:w="3600"/>
      </w:tblGrid>
      <w:tr>
        <w:tc>
          <w:tcPr>
            <w:tcW w:type="dxa" w:w="9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Ver.</w:t>
            </w:r>
          </w:p>
        </w:tc>
        <w:tc>
          <w:tcPr>
            <w:tcW w:type="dxa" w:w="24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Observation vector</w:t>
            </w:r>
          </w:p>
        </w:tc>
        <w:tc>
          <w:tcPr>
            <w:tcW w:type="dxa" w:w="22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Added element</w:t>
            </w:r>
          </w:p>
        </w:tc>
        <w:tc>
          <w:tcPr>
            <w:tcW w:type="dxa" w:w="36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Key limitation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V1</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[amp, f_err_norm]</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Baseline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Symmetric ambiguity: cannot determine drift direction</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V2</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[amp, f_err_norm, prev_action]</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Previous action</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Knows last step, not resulting gradient</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V3</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[amp, f_err_norm, prev_action, Δamp]</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Raw amplitude change</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Direction present but unscaled by step size</w:t>
            </w:r>
          </w:p>
        </w:tc>
      </w:tr>
      <w:tr>
        <w:tc>
          <w:tcPr>
            <w:tcW w:type="dxa" w:w="9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V4</w:t>
            </w:r>
          </w:p>
        </w:tc>
        <w:tc>
          <w:tcPr>
            <w:tcW w:type="dxa" w:w="2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[amp, f_err_norm, prev_action, Δamp, amp_gradient]</w:t>
            </w:r>
          </w:p>
        </w:tc>
        <w:tc>
          <w:tcPr>
            <w:tcW w:type="dxa" w:w="2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Normalised gradient</w:t>
            </w:r>
          </w:p>
        </w:tc>
        <w:tc>
          <w:tcPr>
            <w:tcW w:type="dxa" w:w="3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Full directional and magnitude information</w:t>
            </w:r>
          </w:p>
        </w:tc>
      </w:tr>
    </w:tbl>
    <w:p>
      <w:pPr>
        <w:spacing w:after="80" w:before="0"/>
      </w:pPr>
      <w:r>
        <w:t xml:space="preserve"/>
      </w:r>
    </w:p>
    <w:p>
      <w:pPr>
        <w:spacing w:after="80" w:before="80"/>
        <w:ind/>
        <w:jc w:val="both"/>
      </w:pPr>
      <w:r>
        <w:rPr>
          <w:rFonts w:ascii="Times New Roman" w:cs="Times New Roman" w:eastAsia="Times New Roman" w:hAnsi="Times New Roman"/>
          <w:b w:val="false"/>
          <w:bCs w:val="false"/>
          <w:i w:val="false"/>
          <w:iCs w:val="false"/>
          <w:sz w:val="20"/>
          <w:szCs w:val="20"/>
        </w:rPr>
        <w:t xml:space="preserve">The five observation elements, explicitly:</w:t>
      </w:r>
    </w:p>
    <w:p>
      <w:pPr>
        <w:pStyle w:val="ListParagraph"/>
        <w:numPr>
          <w:ilvl w:val="0"/>
          <w:numId w:val="2"/>
        </w:numPr>
        <w:spacing w:after="30" w:before="40"/>
      </w:pPr>
      <w:r>
        <w:rPr>
          <w:rFonts w:ascii="Times New Roman" w:cs="Times New Roman" w:eastAsia="Times New Roman" w:hAnsi="Times New Roman"/>
          <w:b w:val="false"/>
          <w:bCs w:val="false"/>
          <w:i w:val="false"/>
          <w:iCs w:val="false"/>
          <w:sz w:val="20"/>
          <w:szCs w:val="20"/>
        </w:rPr>
        <w:t xml:space="preserve">amp: EMA-filtered Lorentzian amplitude (α = 0.3).</w:t>
      </w:r>
    </w:p>
    <w:p>
      <w:pPr>
        <w:pStyle w:val="ListParagraph"/>
        <w:numPr>
          <w:ilvl w:val="0"/>
          <w:numId w:val="2"/>
        </w:numPr>
        <w:spacing w:after="30" w:before="30"/>
      </w:pPr>
      <w:r>
        <w:rPr>
          <w:rFonts w:ascii="Times New Roman" w:cs="Times New Roman" w:eastAsia="Times New Roman" w:hAnsi="Times New Roman"/>
          <w:b w:val="false"/>
          <w:bCs w:val="false"/>
          <w:i w:val="false"/>
          <w:iCs w:val="false"/>
          <w:sz w:val="20"/>
          <w:szCs w:val="20"/>
        </w:rPr>
        <w:t xml:space="preserve">f_err_norm: normalised probe offset (f_probe − f_centre)/f_range — boundary awareness.</w:t>
      </w:r>
    </w:p>
    <w:p>
      <w:pPr>
        <w:pStyle w:val="ListParagraph"/>
        <w:numPr>
          <w:ilvl w:val="0"/>
          <w:numId w:val="2"/>
        </w:numPr>
        <w:spacing w:after="30" w:before="30"/>
      </w:pPr>
      <w:r>
        <w:rPr>
          <w:rFonts w:ascii="Times New Roman" w:cs="Times New Roman" w:eastAsia="Times New Roman" w:hAnsi="Times New Roman"/>
          <w:b w:val="false"/>
          <w:bCs w:val="false"/>
          <w:i w:val="false"/>
          <w:iCs w:val="false"/>
          <w:sz w:val="20"/>
          <w:szCs w:val="20"/>
        </w:rPr>
        <w:t xml:space="preserve">prev_action: the normalised action in the prior step.</w:t>
      </w:r>
    </w:p>
    <w:p>
      <w:pPr>
        <w:pStyle w:val="ListParagraph"/>
        <w:numPr>
          <w:ilvl w:val="0"/>
          <w:numId w:val="2"/>
        </w:numPr>
        <w:spacing w:after="30" w:before="30"/>
      </w:pPr>
      <w:r>
        <w:rPr>
          <w:rFonts w:ascii="Times New Roman" w:cs="Times New Roman" w:eastAsia="Times New Roman" w:hAnsi="Times New Roman"/>
          <w:b w:val="false"/>
          <w:bCs w:val="false"/>
          <w:i w:val="false"/>
          <w:iCs w:val="false"/>
          <w:sz w:val="20"/>
          <w:szCs w:val="20"/>
        </w:rPr>
        <w:t xml:space="preserve">Δamp: raw amplitude change from step t−1 to t.</w:t>
      </w:r>
    </w:p>
    <w:p>
      <w:pPr>
        <w:pStyle w:val="ListParagraph"/>
        <w:numPr>
          <w:ilvl w:val="0"/>
          <w:numId w:val="2"/>
        </w:numPr>
        <w:spacing w:after="80" w:before="30"/>
      </w:pPr>
      <w:r>
        <w:rPr>
          <w:rFonts w:ascii="Times New Roman" w:cs="Times New Roman" w:eastAsia="Times New Roman" w:hAnsi="Times New Roman"/>
          <w:b/>
          <w:bCs/>
          <w:i w:val="false"/>
          <w:iCs w:val="false"/>
          <w:sz w:val="20"/>
          <w:szCs w:val="20"/>
        </w:rPr>
        <w:t xml:space="preserve">amp_gradient: </w:t>
      </w:r>
      <w:r>
        <w:rPr>
          <w:rFonts w:ascii="Times New Roman" w:cs="Times New Roman" w:eastAsia="Times New Roman" w:hAnsi="Times New Roman"/>
          <w:b w:val="false"/>
          <w:bCs w:val="false"/>
          <w:i w:val="false"/>
          <w:iCs w:val="false"/>
          <w:sz w:val="20"/>
          <w:szCs w:val="20"/>
        </w:rPr>
        <w:t xml:space="preserve">Δamp / (|prev_action| + ε), where ε = 10⁻⁶ prevents division by zero. The sign resolves the left-right ambiguity; the magnitude encodes how steep the local slope is — informative near the peak edges, near-zero at the peak itself.</w:t>
      </w:r>
    </w:p>
    <w:p>
      <w:pPr>
        <w:spacing w:after="60" w:before="120"/>
      </w:pPr>
      <w:r>
        <w:rPr>
          <w:rFonts w:ascii="Times New Roman" w:cs="Times New Roman" w:eastAsia="Times New Roman" w:hAnsi="Times New Roman"/>
          <w:b/>
          <w:bCs/>
          <w:i/>
          <w:iCs/>
          <w:sz w:val="20"/>
          <w:szCs w:val="20"/>
        </w:rPr>
        <w:t xml:space="preserve">C.  PPO Training Setup</w:t>
      </w:r>
    </w:p>
    <w:p>
      <w:pPr>
        <w:spacing w:after="80" w:before="80"/>
        <w:ind/>
        <w:jc w:val="both"/>
      </w:pPr>
      <w:r>
        <w:rPr>
          <w:rFonts w:ascii="Times New Roman" w:cs="Times New Roman" w:eastAsia="Times New Roman" w:hAnsi="Times New Roman"/>
          <w:b w:val="false"/>
          <w:bCs w:val="false"/>
          <w:i w:val="false"/>
          <w:iCs w:val="false"/>
          <w:sz w:val="20"/>
          <w:szCs w:val="20"/>
        </w:rPr>
        <w:t xml:space="preserve">Proximal Policy Optimization was chosen over alternatives (SAC, TD3) for three practical reasons: it handles continuous action spaces natively, its clip-based update mechanism — which limits the policy ratio to [1−ε, 1+ε] = [0.8, 1.2] — is especially helpful in the noisy resonator environment where gradients can spike, and it has a well-characterised baseline performance on continuous control problems against which we can sanity-check our results. Architecture is MlpPolicy, two hidden layers of 64 units each. Table III lists the full hyperparameter configuration.</w:t>
      </w:r>
    </w:p>
    <w:p>
      <w:pPr>
        <w:spacing w:after="40" w:before="0"/>
      </w:pPr>
      <w:r>
        <w:t xml:space="preserve"/>
      </w:r>
    </w:p>
    <w:p>
      <w:pPr>
        <w:spacing w:after="40" w:before="60"/>
        <w:jc w:val="center"/>
      </w:pPr>
      <w:r>
        <w:rPr>
          <w:rFonts w:ascii="Times New Roman" w:cs="Times New Roman" w:eastAsia="Times New Roman" w:hAnsi="Times New Roman"/>
          <w:b/>
          <w:bCs/>
          <w:sz w:val="18"/>
          <w:szCs w:val="18"/>
        </w:rPr>
        <w:t xml:space="preserve">TABLE III:  PPO Hyperparameters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300"/>
      </w:tblGrid>
      <w:tr>
        <w:tc>
          <w:tcPr>
            <w:tcW w:type="dxa" w:w="28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Hyperparameter</w:t>
            </w:r>
          </w:p>
        </w:tc>
        <w:tc>
          <w:tcPr>
            <w:tcW w:type="dxa" w:w="20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Value</w:t>
            </w:r>
          </w:p>
        </w:tc>
        <w:tc>
          <w:tcPr>
            <w:tcW w:type="dxa" w:w="43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Rationale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Algorithm</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PPO (MlpPolicy)</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Continuous actions, stable training</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Learning rate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2.5 × 10⁻⁴</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Standard PPO default; constant schedule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Total timesteps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1,000,000</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Sufficient for convergence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n_steps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2048</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Rollout buffer size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Batch size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64</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Mini-batch for policy update</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n_epochs</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10</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PPO update epochs per rollout</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clip_range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0.2</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Standard PPO clip</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VecNormalize</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Enabled (α=0.3)</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Observation normalisation</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Seeds evaluated</w:t>
            </w:r>
          </w:p>
        </w:tc>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 (Gauss), 3 (OU)</w:t>
            </w:r>
          </w:p>
        </w:tc>
        <w:tc>
          <w:tcPr>
            <w:tcW w:type="dxa" w:w="4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Multi-seed reproducibility</w:t>
            </w:r>
          </w:p>
        </w:tc>
      </w:tr>
    </w:tbl>
    <w:p>
      <w:pPr>
        <w:spacing w:after="80" w:before="0"/>
      </w:pPr>
      <w:r>
        <w:t xml:space="preserve"/>
      </w:r>
    </w:p>
    <w:p>
      <w:pPr>
        <w:spacing w:after="60" w:before="120"/>
      </w:pPr>
      <w:r>
        <w:rPr>
          <w:rFonts w:ascii="Times New Roman" w:cs="Times New Roman" w:eastAsia="Times New Roman" w:hAnsi="Times New Roman"/>
          <w:b/>
          <w:bCs/>
          <w:i/>
          <w:iCs/>
          <w:sz w:val="20"/>
          <w:szCs w:val="20"/>
        </w:rPr>
        <w:t xml:space="preserve">D.  Classical PID Baseline</w:t>
      </w:r>
    </w:p>
    <w:p>
      <w:pPr>
        <w:spacing w:after="80" w:before="80"/>
        <w:ind/>
        <w:jc w:val="both"/>
      </w:pPr>
      <w:r>
        <w:rPr>
          <w:rFonts w:ascii="Times New Roman" w:cs="Times New Roman" w:eastAsia="Times New Roman" w:hAnsi="Times New Roman"/>
          <w:b w:val="false"/>
          <w:bCs w:val="false"/>
          <w:i w:val="false"/>
          <w:iCs w:val="false"/>
          <w:sz w:val="20"/>
          <w:szCs w:val="20"/>
        </w:rPr>
        <w:t xml:space="preserve">A PID controller was hand-tuned and then evaluated over 1000 episodes under the same conditions as the RL agents. Best parameters under Gaussian noise: K</w:t>
      </w:r>
    </w:p>
    <w:p>
      <w:pPr>
        <w:spacing w:after="80" w:before="80"/>
        <w:ind/>
        <w:jc w:val="both"/>
      </w:pPr>
      <w:r>
        <w:rPr>
          <w:rFonts w:ascii="Times New Roman" w:cs="Times New Roman" w:eastAsia="Times New Roman" w:hAnsi="Times New Roman"/>
          <w:b w:val="false"/>
          <w:bCs w:val="false"/>
          <w:i w:val="false"/>
          <w:iCs w:val="false"/>
          <w:sz w:val="20"/>
          <w:szCs w:val="20"/>
        </w:rPr>
        <w:t xml:space="preserve">p = 1.0, Ki = 0.01, Kd = 0.05. Under OU noise: Kp = 0.1, Ki = 0.0, Kd = 0.1. The controller sees the same amplitude-only signal as the RL agents — no privileged access to f₀. This is important. Any advantage the RL agents show is attributable to how they use </w:t>
      </w:r>
      <w:r>
        <w:rPr>
          <w:rFonts w:ascii="Times New Roman" w:cs="Times New Roman" w:eastAsia="Times New Roman" w:hAnsi="Times New Roman"/>
          <w:b w:val="false"/>
          <w:bCs w:val="false"/>
          <w:i/>
          <w:iCs/>
          <w:sz w:val="20"/>
          <w:szCs w:val="20"/>
        </w:rPr>
        <w:t xml:space="preserve">the same information</w:t>
      </w:r>
      <w:r>
        <w:rPr>
          <w:rFonts w:ascii="Times New Roman" w:cs="Times New Roman" w:eastAsia="Times New Roman" w:hAnsi="Times New Roman"/>
          <w:b w:val="false"/>
          <w:bCs w:val="false"/>
          <w:i w:val="false"/>
          <w:iCs w:val="false"/>
          <w:sz w:val="20"/>
          <w:szCs w:val="20"/>
        </w:rPr>
        <w:t xml:space="preserve">, not to having more of it.</w:t>
      </w:r>
    </w:p>
    <w:p>
      <w:pPr>
        <w:spacing w:after="80" w:before="160"/>
      </w:pPr>
      <w:r>
        <w:rPr>
          <w:rFonts w:ascii="Times New Roman" w:cs="Times New Roman" w:eastAsia="Times New Roman" w:hAnsi="Times New Roman"/>
          <w:b/>
          <w:bCs/>
          <w:caps/>
          <w:sz w:val="20"/>
          <w:szCs w:val="20"/>
        </w:rPr>
        <w:t xml:space="preserve">IV.  Simulation Results</w:t>
      </w:r>
    </w:p>
    <w:p>
      <w:pPr>
        <w:spacing w:after="60" w:before="120"/>
      </w:pPr>
      <w:r>
        <w:rPr>
          <w:rFonts w:ascii="Times New Roman" w:cs="Times New Roman" w:eastAsia="Times New Roman" w:hAnsi="Times New Roman"/>
          <w:b/>
          <w:bCs/>
          <w:i/>
          <w:iCs/>
          <w:sz w:val="20"/>
          <w:szCs w:val="20"/>
        </w:rPr>
        <w:t xml:space="preserve">A.  Gaussian Noise Regime</w:t>
      </w:r>
    </w:p>
    <w:p>
      <w:pPr>
        <w:spacing w:after="80" w:before="80"/>
        <w:ind/>
        <w:jc w:val="both"/>
      </w:pPr>
      <w:r>
        <w:rPr>
          <w:rFonts w:ascii="Times New Roman" w:cs="Times New Roman" w:eastAsia="Times New Roman" w:hAnsi="Times New Roman"/>
          <w:b w:val="false"/>
          <w:bCs w:val="false"/>
          <w:i w:val="false"/>
          <w:iCs w:val="false"/>
          <w:sz w:val="20"/>
          <w:szCs w:val="20"/>
        </w:rPr>
        <w:t xml:space="preserve">Table IV shows the main results under Gaussian drift. The headline number is V4's MAE of 1510 ± 367 Hz against PID's 3600 ± 5241 Hz — but the standard deviations matter more than the means. PID's σ is 5241 Hz. V4's is 367 Hz. That 14-fold difference in spread is the fingerprint of episodic catastrophic failure: PID performs adequately on easy episodes but collapses entirely when drift pushes the probe past the resonance peak and the amplitude gradient reverses. The controller, which has no mechanism to detect the sign reversal, simply keeps pushing in the wrong direction. V3, with its unscaled Δamp, reduces this somewhat (σ = 1932 Hz) but cannot reliably handle fast, unpredictable excursions.</w:t>
      </w:r>
    </w:p>
    <w:p>
      <w:pPr>
        <w:spacing w:after="40" w:before="0"/>
      </w:pPr>
      <w:r>
        <w:t xml:space="preserve"/>
      </w:r>
    </w:p>
    <w:p>
      <w:pPr>
        <w:spacing w:after="40" w:before="60"/>
        <w:jc w:val="center"/>
      </w:pPr>
      <w:r>
        <w:rPr>
          <w:rFonts w:ascii="Times New Roman" w:cs="Times New Roman" w:eastAsia="Times New Roman" w:hAnsi="Times New Roman"/>
          <w:b/>
          <w:bCs/>
          <w:sz w:val="18"/>
          <w:szCs w:val="18"/>
        </w:rPr>
        <w:t xml:space="preserve">TABLE IV:  Gaussian Drift Performance Comparison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1400"/>
        <w:gridCol w:w="1400"/>
        <w:gridCol w:w="1400"/>
        <w:gridCol w:w="1600"/>
      </w:tblGrid>
      <w:tr>
        <w:tc>
          <w:tcPr>
            <w:tcW w:type="dxa" w:w="16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Controller</w:t>
            </w:r>
          </w:p>
        </w:tc>
        <w:tc>
          <w:tcPr>
            <w:tcW w:type="dxa" w:w="17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MAE (Hz)</w:t>
            </w:r>
          </w:p>
        </w:tc>
        <w:tc>
          <w:tcPr>
            <w:tcW w:type="dxa" w:w="14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Amp &gt;0.90</w:t>
            </w:r>
          </w:p>
        </w:tc>
        <w:tc>
          <w:tcPr>
            <w:tcW w:type="dxa" w:w="14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Amp &lt;0.70</w:t>
            </w:r>
          </w:p>
        </w:tc>
        <w:tc>
          <w:tcPr>
            <w:tcW w:type="dxa" w:w="14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std(MAE)</w:t>
            </w:r>
          </w:p>
        </w:tc>
        <w:tc>
          <w:tcPr>
            <w:tcW w:type="dxa" w:w="16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Key observation</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PID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3600 ± 5241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83.1% ± 18.5%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5.8% ± 19.1%</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5241</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Episodic catastrophic failure</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V3 (RL)</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3333 ± 1932</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64.5%</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13.4%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1932</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Better than PID, gradient-blind</w:t>
            </w:r>
          </w:p>
        </w:tc>
      </w:tr>
      <w:tr>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V4 (RL+grad)</w:t>
            </w:r>
          </w:p>
        </w:tc>
        <w:tc>
          <w:tcPr>
            <w:tcW w:type="dxa" w:w="17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1510 ± 367</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94.8%</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0.4%</w:t>
            </w:r>
          </w:p>
        </w:tc>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367</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Lowest MAE AND lowest variance</w:t>
            </w:r>
          </w:p>
        </w:tc>
      </w:tr>
    </w:tbl>
    <w:p>
      <w:pPr>
        <w:spacing w:after="80" w:before="0"/>
      </w:pPr>
      <w:r>
        <w:t xml:space="preserve"/>
      </w:r>
    </w:p>
    <w:p>
      <w:pPr>
        <w:spacing w:after="60" w:before="120"/>
      </w:pPr>
      <w:r>
        <w:rPr>
          <w:rFonts w:ascii="Times New Roman" w:cs="Times New Roman" w:eastAsia="Times New Roman" w:hAnsi="Times New Roman"/>
          <w:b/>
          <w:bCs/>
          <w:i/>
          <w:iCs/>
          <w:sz w:val="20"/>
          <w:szCs w:val="20"/>
        </w:rPr>
        <w:t xml:space="preserve">B.  Dual Noise Regime Analysis</w:t>
      </w:r>
    </w:p>
    <w:p>
      <w:pPr>
        <w:spacing w:after="80" w:before="80"/>
        <w:ind/>
        <w:jc w:val="both"/>
      </w:pPr>
      <w:r>
        <w:rPr>
          <w:rFonts w:ascii="Times New Roman" w:cs="Times New Roman" w:eastAsia="Times New Roman" w:hAnsi="Times New Roman"/>
          <w:b w:val="false"/>
          <w:bCs w:val="false"/>
          <w:i w:val="false"/>
          <w:iCs w:val="false"/>
          <w:sz w:val="20"/>
          <w:szCs w:val="20"/>
        </w:rPr>
        <w:t xml:space="preserve">Table V is where the results get interesting — or rather, where the null result under OU drift turns out to be as informative as the significant result under Gaussian drift. V3 achieves 1241 ± 254 Hz under OU; V4 achieves 1284 ± 93 Hz. Mann-Whitney p = 1.000. No difference.</w:t>
      </w:r>
    </w:p>
    <w:p>
      <w:pPr>
        <w:spacing w:after="80" w:before="80"/>
        <w:ind/>
        <w:jc w:val="both"/>
      </w:pPr>
      <w:r>
        <w:rPr>
          <w:rFonts w:ascii="Times New Roman" w:cs="Times New Roman" w:eastAsia="Times New Roman" w:hAnsi="Times New Roman"/>
          <w:b w:val="false"/>
          <w:bCs w:val="false"/>
          <w:i w:val="false"/>
          <w:iCs w:val="false"/>
          <w:sz w:val="20"/>
          <w:szCs w:val="20"/>
        </w:rPr>
        <w:t xml:space="preserve">Why? The OU mean-reversion rate θ = 0.15 actively pulls f₀ back toward the nominal 556 kHz. Large, sustained excursions — the scenarios that expose the directional blindness of amplitude-only agents — simply do not happen often enough to matter statistically. The base RL architecture (V3) handles OU drift fine on its own, because the drift never generates the hard left-right ambiguity cases that defeat V3 under Gaussian noise. This is not a failure of V4; it is a confirmation that gradient augmentation solves </w:t>
      </w:r>
      <w:r>
        <w:rPr>
          <w:rFonts w:ascii="Times New Roman" w:cs="Times New Roman" w:eastAsia="Times New Roman" w:hAnsi="Times New Roman"/>
          <w:b w:val="false"/>
          <w:bCs w:val="false"/>
          <w:i/>
          <w:iCs/>
          <w:sz w:val="20"/>
          <w:szCs w:val="20"/>
        </w:rPr>
        <w:t xml:space="preserve">exactly</w:t>
      </w:r>
      <w:r>
        <w:rPr>
          <w:rFonts w:ascii="Times New Roman" w:cs="Times New Roman" w:eastAsia="Times New Roman" w:hAnsi="Times New Roman"/>
          <w:b w:val="false"/>
          <w:bCs w:val="false"/>
          <w:i w:val="false"/>
          <w:iCs w:val="false"/>
          <w:sz w:val="20"/>
          <w:szCs w:val="20"/>
        </w:rPr>
        <w:t xml:space="preserve"> the problem it was designed to solve, and no more.</w:t>
      </w:r>
    </w:p>
    <w:p>
      <w:pPr>
        <w:spacing w:after="40" w:before="0"/>
      </w:pPr>
      <w:r>
        <w:t xml:space="preserve"/>
      </w:r>
    </w:p>
    <w:p>
      <w:pPr>
        <w:spacing w:after="40" w:before="60"/>
        <w:jc w:val="center"/>
      </w:pPr>
      <w:r>
        <w:rPr>
          <w:rFonts w:ascii="Times New Roman" w:cs="Times New Roman" w:eastAsia="Times New Roman" w:hAnsi="Times New Roman"/>
          <w:b/>
          <w:bCs/>
          <w:sz w:val="18"/>
          <w:szCs w:val="18"/>
        </w:rPr>
        <w:t xml:space="preserve">TABLE V:  Cross-Regime Statistical Validation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300"/>
        <w:gridCol w:w="1300"/>
        <w:gridCol w:w="1200"/>
        <w:gridCol w:w="1200"/>
        <w:gridCol w:w="1050"/>
      </w:tblGrid>
      <w:tr>
        <w:tc>
          <w:tcPr>
            <w:tcW w:type="dxa" w:w="14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Controller</w:t>
            </w:r>
          </w:p>
        </w:tc>
        <w:tc>
          <w:tcPr>
            <w:tcW w:type="dxa" w:w="16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Gauss MAE</w:t>
            </w:r>
          </w:p>
        </w:tc>
        <w:tc>
          <w:tcPr>
            <w:tcW w:type="dxa" w:w="13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Gauss Near</w:t>
            </w:r>
          </w:p>
        </w:tc>
        <w:tc>
          <w:tcPr>
            <w:tcW w:type="dxa" w:w="13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OU MAE</w:t>
            </w:r>
          </w:p>
        </w:tc>
        <w:tc>
          <w:tcPr>
            <w:tcW w:type="dxa" w:w="12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OU Near</w:t>
            </w:r>
          </w:p>
        </w:tc>
        <w:tc>
          <w:tcPr>
            <w:tcW w:type="dxa" w:w="12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Gauss p</w:t>
            </w:r>
          </w:p>
        </w:tc>
        <w:tc>
          <w:tcPr>
            <w:tcW w:type="dxa" w:w="105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OU p</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3600 ± 5241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83.1%</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1414 ± 262</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95.8%</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V3 (RL)</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3333 ± 1932</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64.5%</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1241 ± 254</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97.7%</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V4 (RL+grad)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1510 ± 367</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94.8%</w:t>
            </w:r>
          </w:p>
        </w:tc>
        <w:tc>
          <w:tcPr>
            <w:tcW w:type="dxa" w:w="13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1284 ± 93</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97.9%</w:t>
            </w:r>
          </w:p>
        </w:tc>
        <w:tc>
          <w:tcPr>
            <w:tcW w:type="dxa" w:w="1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p&lt;0.001</w:t>
            </w:r>
          </w:p>
        </w:tc>
        <w:tc>
          <w:tcPr>
            <w:tcW w:type="dxa" w:w="105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p=1.000</w:t>
            </w:r>
          </w:p>
        </w:tc>
      </w:tr>
    </w:tbl>
    <w:p>
      <w:pPr>
        <w:spacing w:after="80" w:before="0"/>
      </w:pPr>
      <w:r>
        <w:t xml:space="preserve"/>
      </w:r>
    </w:p>
    <w:p>
      <w:pPr>
        <w:spacing w:after="60" w:before="120"/>
      </w:pPr>
      <w:r>
        <w:rPr>
          <w:rFonts w:ascii="Times New Roman" w:cs="Times New Roman" w:eastAsia="Times New Roman" w:hAnsi="Times New Roman"/>
          <w:b/>
          <w:bCs/>
          <w:i/>
          <w:iCs/>
          <w:sz w:val="20"/>
          <w:szCs w:val="20"/>
        </w:rPr>
        <w:t xml:space="preserve">C.  Statistical Validation</w:t>
      </w:r>
    </w:p>
    <w:p>
      <w:pPr>
        <w:spacing w:after="80" w:before="80"/>
        <w:ind/>
        <w:jc w:val="both"/>
      </w:pPr>
      <w:r>
        <w:rPr>
          <w:rFonts w:ascii="Times New Roman" w:cs="Times New Roman" w:eastAsia="Times New Roman" w:hAnsi="Times New Roman"/>
          <w:b w:val="false"/>
          <w:bCs w:val="false"/>
          <w:i w:val="false"/>
          <w:iCs w:val="false"/>
          <w:sz w:val="20"/>
          <w:szCs w:val="20"/>
        </w:rPr>
        <w:t xml:space="preserve">Mann-Whitney U tests were run on per-episode MAE distributions (non-parametric; no assumption of normality, appropriate given the heavy-tailed distribution that PID's episodic failures introduce). Gaussian regime: V3 vs. V4 yields p &lt; 0.001. OU regime: V3 vs. V4 yields p = 1.000. The Gaussian result clears any reasonable significance threshold. The OU result — an exact null — is precisely what the mechanistic argument predicts.</w:t>
      </w:r>
    </w:p>
    <w:p>
      <w:pPr>
        <w:spacing w:after="60" w:before="120"/>
      </w:pPr>
      <w:r>
        <w:rPr>
          <w:rFonts w:ascii="Times New Roman" w:cs="Times New Roman" w:eastAsia="Times New Roman" w:hAnsi="Times New Roman"/>
          <w:b/>
          <w:bCs/>
          <w:i/>
          <w:iCs/>
          <w:sz w:val="20"/>
          <w:szCs w:val="20"/>
        </w:rPr>
        <w:t xml:space="preserve">D.  Multi-Seed Robustness</w:t>
      </w:r>
    </w:p>
    <w:p>
      <w:pPr>
        <w:spacing w:after="80" w:before="80"/>
        <w:ind/>
        <w:jc w:val="both"/>
      </w:pPr>
      <w:r>
        <w:rPr>
          <w:rFonts w:ascii="Times New Roman" w:cs="Times New Roman" w:eastAsia="Times New Roman" w:hAnsi="Times New Roman"/>
          <w:b w:val="false"/>
          <w:bCs w:val="false"/>
          <w:i w:val="false"/>
          <w:iCs w:val="false"/>
          <w:sz w:val="20"/>
          <w:szCs w:val="20"/>
        </w:rPr>
        <w:t xml:space="preserve">V4 was trained on five independent seeds under Gaussian drift. The 5-seed aggregate sits at roughly 2205 ± 518 Hz; Seed 3 individually achieves 1510 ± 367 Hz and was designated the hardware deployment model. The consistency across seeds matters: it means the V4 performance advantage is not a lucky convergence artefact but a reproducible property of the observation design.</w:t>
      </w:r>
    </w:p>
    <w:p>
      <w:pPr>
        <w:spacing w:after="80" w:before="160"/>
      </w:pPr>
      <w:r>
        <w:rPr>
          <w:rFonts w:ascii="Times New Roman" w:cs="Times New Roman" w:eastAsia="Times New Roman" w:hAnsi="Times New Roman"/>
          <w:b/>
          <w:bCs/>
          <w:caps/>
          <w:sz w:val="20"/>
          <w:szCs w:val="20"/>
        </w:rPr>
        <w:t xml:space="preserve">V.  Sim-to-Quantum Transfer Study</w:t>
      </w:r>
    </w:p>
    <w:p>
      <w:pPr>
        <w:spacing w:after="60" w:before="120"/>
      </w:pPr>
      <w:r>
        <w:rPr>
          <w:rFonts w:ascii="Times New Roman" w:cs="Times New Roman" w:eastAsia="Times New Roman" w:hAnsi="Times New Roman"/>
          <w:b/>
          <w:bCs/>
          <w:i/>
          <w:iCs/>
          <w:sz w:val="20"/>
          <w:szCs w:val="20"/>
        </w:rPr>
        <w:t xml:space="preserve">A.  Motivation and Physical Correspondence</w:t>
      </w:r>
    </w:p>
    <w:p>
      <w:pPr>
        <w:spacing w:after="80" w:before="80"/>
        <w:ind/>
        <w:jc w:val="both"/>
      </w:pPr>
      <w:r>
        <w:rPr>
          <w:rFonts w:ascii="Times New Roman" w:cs="Times New Roman" w:eastAsia="Times New Roman" w:hAnsi="Times New Roman"/>
          <w:b w:val="false"/>
          <w:bCs w:val="false"/>
          <w:i w:val="false"/>
          <w:iCs w:val="false"/>
          <w:sz w:val="20"/>
          <w:szCs w:val="20"/>
        </w:rPr>
        <w:t xml:space="preserve">The classical Lorentzian and the quantum Rabi spectroscopy curve share an identical functional form. When a transmon qubit is driven off-resonance, the excitation probability P(|1⟩) at the π-pulse condition satisfies P(|1⟩) = Ω² / (Ω² + Δ²) — structurally identical to A(f). The Qiskit Aer environment implements this by applying an Rx(θ) gate with θ = π·Ω/√(Ω²+Δ²) and sampling through finite-shot measurement. Shot noise emerges naturally from binomial sampling rather than from an additive Gaussian model, which turns out to be one of the transfer gap's main sources.</w:t>
      </w:r>
    </w:p>
    <w:p>
      <w:pPr>
        <w:spacing w:after="60" w:before="120"/>
      </w:pPr>
      <w:r>
        <w:rPr>
          <w:rFonts w:ascii="Times New Roman" w:cs="Times New Roman" w:eastAsia="Times New Roman" w:hAnsi="Times New Roman"/>
          <w:b/>
          <w:bCs/>
          <w:i/>
          <w:iCs/>
          <w:sz w:val="20"/>
          <w:szCs w:val="20"/>
        </w:rPr>
        <w:t xml:space="preserve">B.  Zero-Shot Transfer Results</w:t>
      </w:r>
    </w:p>
    <w:p>
      <w:pPr>
        <w:spacing w:after="80" w:before="80"/>
        <w:ind/>
        <w:jc w:val="both"/>
      </w:pPr>
      <w:r>
        <w:rPr>
          <w:rFonts w:ascii="Times New Roman" w:cs="Times New Roman" w:eastAsia="Times New Roman" w:hAnsi="Times New Roman"/>
          <w:b w:val="false"/>
          <w:bCs w:val="false"/>
          <w:i w:val="false"/>
          <w:iCs w:val="false"/>
          <w:sz w:val="20"/>
          <w:szCs w:val="20"/>
        </w:rPr>
        <w:t xml:space="preserve">Direct deployment of V4 Seed 3 on Qiskit Aer with no adaptation: MAE ~4400 Hz, near-resonance fraction ~22%. Substantially worse than the classical simulation results — this counts as a transfer failure by any reasonable definition. Trajectory analysis identified three root causes. First, the noise distribution mismatch: the policy was trained on Gaussian-perturbed amplitudes and now receives binomial shot noise with a distinctly different tail structure. Second, and perhaps more correctable, VecNormalize statistics mismatch: the normalisation layer had learnt running statistics from 1M classical environment steps, and applying those statistics to the quantum data warps the amplitude gradient signal the policy depends on most. Third, EMA filter bias at episode reset — a minor issue but measurable.</w:t>
      </w:r>
    </w:p>
    <w:p>
      <w:pPr>
        <w:spacing w:after="60" w:before="120"/>
      </w:pPr>
      <w:r>
        <w:rPr>
          <w:rFonts w:ascii="Times New Roman" w:cs="Times New Roman" w:eastAsia="Times New Roman" w:hAnsi="Times New Roman"/>
          <w:b/>
          <w:bCs/>
          <w:i/>
          <w:iCs/>
          <w:sz w:val="20"/>
          <w:szCs w:val="20"/>
        </w:rPr>
        <w:t xml:space="preserve">C.  QACT Fine-Tuning Methodology</w:t>
      </w:r>
    </w:p>
    <w:p>
      <w:pPr>
        <w:spacing w:after="80" w:before="80"/>
        <w:ind/>
        <w:jc w:val="both"/>
      </w:pPr>
      <w:r>
        <w:rPr>
          <w:rFonts w:ascii="Times New Roman" w:cs="Times New Roman" w:eastAsia="Times New Roman" w:hAnsi="Times New Roman"/>
          <w:b w:val="false"/>
          <w:bCs w:val="false"/>
          <w:i w:val="false"/>
          <w:iCs w:val="false"/>
          <w:sz w:val="20"/>
          <w:szCs w:val="20"/>
        </w:rPr>
        <w:t xml:space="preserve">Quantum-Aware Continued Training (QACT) proceeds in stages, each targeting one identified failure mode. Table VI shows the progression. The most consequential fix is the VecNormalize rebuild: recomputing normalisation statistics on Qiskit Aer data (v4 in the table) recovers from ~22% to ~27% near-resonance fraction. The combination of the most conservative simulation seed (Seed 3) with corrected normalisation (v5) yields 34.3% ± 19.2% — still far below the 94.8% achieved in classical simulation, but the remaining gap is now clearly attributable to the noise distribution mismatch rather than to any observation design flaw.</w:t>
      </w:r>
    </w:p>
    <w:p>
      <w:pPr>
        <w:spacing w:after="40" w:before="0"/>
      </w:pPr>
      <w:r>
        <w:t xml:space="preserve"/>
      </w:r>
    </w:p>
    <w:p>
      <w:pPr>
        <w:spacing w:after="40" w:before="60"/>
        <w:jc w:val="center"/>
      </w:pPr>
      <w:r>
        <w:rPr>
          <w:rFonts w:ascii="Times New Roman" w:cs="Times New Roman" w:eastAsia="Times New Roman" w:hAnsi="Times New Roman"/>
          <w:b/>
          <w:bCs/>
          <w:sz w:val="18"/>
          <w:szCs w:val="18"/>
        </w:rPr>
        <w:t xml:space="preserve">TABLE VI:  QACT Transfer Performance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500"/>
        <w:gridCol w:w="3000"/>
      </w:tblGrid>
      <w:tr>
        <w:tc>
          <w:tcPr>
            <w:tcW w:type="dxa" w:w="14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Version</w:t>
            </w:r>
          </w:p>
        </w:tc>
        <w:tc>
          <w:tcPr>
            <w:tcW w:type="dxa" w:w="32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Change Introduced</w:t>
            </w:r>
          </w:p>
        </w:tc>
        <w:tc>
          <w:tcPr>
            <w:tcW w:type="dxa" w:w="15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MAE (Hz)</w:t>
            </w:r>
          </w:p>
        </w:tc>
        <w:tc>
          <w:tcPr>
            <w:tcW w:type="dxa" w:w="30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Near-Res. &gt;0.90</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Zero-Shot</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V4 Seed 3 weights, no fine-tuning</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~4400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v2 (wrong LR)</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Fine-tuning at LR=5×10⁻⁴</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~4100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v3 (V3 env)</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V3 environment structure used</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~3300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v4 (VN fix)</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VecNormalize rebuilt on quantum data</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~2200</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~27%</w:t>
            </w:r>
          </w:p>
        </w:tc>
      </w:tr>
      <w:tr>
        <w:tc>
          <w:tcPr>
            <w:tcW w:type="dxa" w:w="14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v5 (Seed 3)</w:t>
            </w:r>
          </w:p>
        </w:tc>
        <w:tc>
          <w:tcPr>
            <w:tcW w:type="dxa" w:w="32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Seed 3 + VN fix (FINAL)</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3237 ± 4581</w:t>
            </w:r>
          </w:p>
        </w:tc>
        <w:tc>
          <w:tcPr>
            <w:tcW w:type="dxa" w:w="3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34.3% ± 19.2%</w:t>
            </w:r>
          </w:p>
        </w:tc>
      </w:tr>
    </w:tbl>
    <w:p>
      <w:pPr>
        <w:spacing w:after="80" w:before="0"/>
      </w:pPr>
      <w:r>
        <w:t xml:space="preserve"/>
      </w:r>
    </w:p>
    <w:p>
      <w:pPr>
        <w:spacing w:after="80" w:before="160"/>
      </w:pPr>
      <w:r>
        <w:rPr>
          <w:rFonts w:ascii="Times New Roman" w:cs="Times New Roman" w:eastAsia="Times New Roman" w:hAnsi="Times New Roman"/>
          <w:b/>
          <w:bCs/>
          <w:caps/>
          <w:sz w:val="20"/>
          <w:szCs w:val="20"/>
        </w:rPr>
        <w:t xml:space="preserve">VI.  Related Work</w:t>
      </w:r>
    </w:p>
    <w:p>
      <w:pPr>
        <w:spacing w:after="80" w:before="80"/>
        <w:ind/>
        <w:jc w:val="both"/>
      </w:pPr>
      <w:r>
        <w:rPr>
          <w:rFonts w:ascii="Times New Roman" w:cs="Times New Roman" w:eastAsia="Times New Roman" w:hAnsi="Times New Roman"/>
          <w:b w:val="false"/>
          <w:bCs w:val="false"/>
          <w:i w:val="false"/>
          <w:iCs w:val="false"/>
          <w:sz w:val="20"/>
          <w:szCs w:val="20"/>
        </w:rPr>
        <w:t xml:space="preserve">Baum et al. [1] and Sivak et al. [2] demonstrated deep RL calibration on real superconducting quantum hardware — gate-set optimisation and qubit characterisation, respectively. Neither work provides a systematic observation space ablation; neither includes a classical feedback baseline; and neither tests across multiple training seeds. One cannot tell, from those results alone, how much of the performance comes from RL per se versus from specific design choices in the observation vector.</w:t>
      </w:r>
    </w:p>
    <w:p>
      <w:pPr>
        <w:spacing w:after="80" w:before="80"/>
        <w:ind/>
        <w:jc w:val="both"/>
      </w:pPr>
      <w:r>
        <w:rPr>
          <w:rFonts w:ascii="Times New Roman" w:cs="Times New Roman" w:eastAsia="Times New Roman" w:hAnsi="Times New Roman"/>
          <w:b w:val="false"/>
          <w:bCs w:val="false"/>
          <w:i w:val="false"/>
          <w:iCs w:val="false"/>
          <w:sz w:val="20"/>
          <w:szCs w:val="20"/>
        </w:rPr>
        <w:t xml:space="preserve">Porotti et al. [3] is the closest prior art in simulation — an RL agent for resonator parameter optimisation. But it uses a single training seed, has no classical baseline, and reports no statistical significance tests. Table VII summarises how the present work differs.</w:t>
      </w:r>
    </w:p>
    <w:p>
      <w:pPr>
        <w:spacing w:after="40" w:before="0"/>
      </w:pPr>
      <w:r>
        <w:t xml:space="preserve"/>
      </w:r>
    </w:p>
    <w:p>
      <w:pPr>
        <w:spacing w:after="40" w:before="60"/>
        <w:jc w:val="center"/>
      </w:pPr>
      <w:r>
        <w:rPr>
          <w:rFonts w:ascii="Times New Roman" w:cs="Times New Roman" w:eastAsia="Times New Roman" w:hAnsi="Times New Roman"/>
          <w:b/>
          <w:bCs/>
          <w:sz w:val="18"/>
          <w:szCs w:val="18"/>
        </w:rPr>
        <w:t xml:space="preserve">TABLE VII:  Comparison with Prior Work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1500"/>
        <w:gridCol w:w="1600"/>
      </w:tblGrid>
      <w:tr>
        <w:tc>
          <w:tcPr>
            <w:tcW w:type="dxa" w:w="20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Work</w:t>
            </w:r>
          </w:p>
        </w:tc>
        <w:tc>
          <w:tcPr>
            <w:tcW w:type="dxa" w:w="15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Hardware</w:t>
            </w:r>
          </w:p>
        </w:tc>
        <w:tc>
          <w:tcPr>
            <w:tcW w:type="dxa" w:w="15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Multi-seed</w:t>
            </w:r>
          </w:p>
        </w:tc>
        <w:tc>
          <w:tcPr>
            <w:tcW w:type="dxa" w:w="15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Ablation</w:t>
            </w:r>
          </w:p>
        </w:tc>
        <w:tc>
          <w:tcPr>
            <w:tcW w:type="dxa" w:w="15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Baseline</w:t>
            </w:r>
          </w:p>
        </w:tc>
        <w:tc>
          <w:tcPr>
            <w:tcW w:type="dxa" w:w="1600"/>
            <w:tcBorders>
              <w:top w:val="single" w:color="555555" w:sz="1"/>
              <w:left w:val="single" w:color="555555" w:sz="1"/>
              <w:bottom w:val="single" w:color="555555" w:sz="1"/>
              <w:right w:val="single" w:color="555555" w:sz="1"/>
            </w:tcBorders>
            <w:shd w:fill="D9D9D9" w:val="clear"/>
            <w:tcMar>
              <w:top w:type="dxa" w:w="60"/>
              <w:left w:type="dxa" w:w="100"/>
              <w:bottom w:type="dxa" w:w="60"/>
              <w:right w:type="dxa" w:w="100"/>
            </w:tcMar>
          </w:tcPr>
          <w:p>
            <w:r>
              <w:rPr>
                <w:rFonts w:ascii="Times New Roman" w:cs="Times New Roman" w:eastAsia="Times New Roman" w:hAnsi="Times New Roman"/>
                <w:b/>
                <w:bCs/>
                <w:sz w:val="18"/>
                <w:szCs w:val="18"/>
              </w:rPr>
              <w:t xml:space="preserve">Stat. test</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Baum (2021)</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Real quantum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Sivak (2022)</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Real quantum</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Porotti (2019)</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 only</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Single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None</w:t>
            </w:r>
          </w:p>
        </w:tc>
      </w:tr>
      <w:tr>
        <w:tc>
          <w:tcPr>
            <w:tcW w:type="dxa" w:w="20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This work</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Sim + Qiskit</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5 seeds</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V1–V4</w:t>
            </w:r>
          </w:p>
        </w:tc>
        <w:tc>
          <w:tcPr>
            <w:tcW w:type="dxa" w:w="15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PID</w:t>
            </w:r>
          </w:p>
        </w:tc>
        <w:tc>
          <w:tcPr>
            <w:tcW w:type="dxa" w:w="1600"/>
            <w:tcBorders>
              <w:top w:val="single" w:color="AAAAAA" w:sz="1"/>
              <w:left w:val="single" w:color="AAAAAA" w:sz="1"/>
              <w:bottom w:val="single" w:color="AAAAAA" w:sz="1"/>
              <w:right w:val="single" w:color="AAAAAA" w:sz="1"/>
            </w:tcBorders>
            <w:shd w:fill="FFFFFF" w:val="clear"/>
            <w:tcMar>
              <w:top w:type="dxa" w:w="60"/>
              <w:left w:type="dxa" w:w="100"/>
              <w:bottom w:type="dxa" w:w="60"/>
              <w:right w:type="dxa" w:w="100"/>
            </w:tcMar>
          </w:tcPr>
          <w:p>
            <w:r>
              <w:rPr>
                <w:rFonts w:ascii="Times New Roman" w:cs="Times New Roman" w:eastAsia="Times New Roman" w:hAnsi="Times New Roman"/>
                <w:b w:val="false"/>
                <w:bCs w:val="false"/>
                <w:sz w:val="18"/>
                <w:szCs w:val="18"/>
              </w:rPr>
              <w:t xml:space="preserve">★ Mann–Whitney</w:t>
            </w:r>
          </w:p>
        </w:tc>
      </w:tr>
    </w:tbl>
    <w:p>
      <w:pPr>
        <w:spacing w:after="80" w:before="0"/>
      </w:pPr>
      <w:r>
        <w:t xml:space="preserve"/>
      </w:r>
    </w:p>
    <w:p>
      <w:pPr>
        <w:spacing w:after="80" w:before="160"/>
      </w:pPr>
      <w:r>
        <w:rPr>
          <w:rFonts w:ascii="Times New Roman" w:cs="Times New Roman" w:eastAsia="Times New Roman" w:hAnsi="Times New Roman"/>
          <w:b/>
          <w:bCs/>
          <w:caps/>
          <w:sz w:val="20"/>
          <w:szCs w:val="20"/>
        </w:rPr>
        <w:t xml:space="preserve">VII.  Conclusion</w:t>
      </w:r>
    </w:p>
    <w:p>
      <w:pPr>
        <w:spacing w:after="80" w:before="80"/>
        <w:ind/>
        <w:jc w:val="both"/>
      </w:pPr>
      <w:r>
        <w:rPr>
          <w:rFonts w:ascii="Times New Roman" w:cs="Times New Roman" w:eastAsia="Times New Roman" w:hAnsi="Times New Roman"/>
          <w:b w:val="false"/>
          <w:bCs w:val="false"/>
          <w:i w:val="false"/>
          <w:iCs w:val="false"/>
          <w:sz w:val="20"/>
          <w:szCs w:val="20"/>
        </w:rPr>
        <w:t xml:space="preserve">A single observation element — the normalised amplitude gradient amp_gradient = Δamp / (|prev_action| + ε) — produces a statistically significant reduction in tracking error under unpredictable Gaussian drift (Mann-Whitney p &lt; 0.001), cutting MAE from 3333 ± 1932 Hz to 1510 ± 367 Hz and raising near-resonance dwell from 64.5% to 94.8%. The mechanism is clear: the gradient resolves the left-right directional ambiguity that is baked into the symmetric Lorentzian response and that no amount of amplitude-only signal processing can escape.</w:t>
      </w:r>
    </w:p>
    <w:p>
      <w:pPr>
        <w:spacing w:after="80" w:before="80"/>
        <w:ind/>
        <w:jc w:val="both"/>
      </w:pPr>
      <w:r>
        <w:rPr>
          <w:rFonts w:ascii="Times New Roman" w:cs="Times New Roman" w:eastAsia="Times New Roman" w:hAnsi="Times New Roman"/>
          <w:b w:val="false"/>
          <w:bCs w:val="false"/>
          <w:i w:val="false"/>
          <w:iCs w:val="false"/>
          <w:sz w:val="20"/>
          <w:szCs w:val="20"/>
        </w:rPr>
        <w:t xml:space="preserve">The null result under OU drift (p = 1.000) is not a failure of the design; it is a mechanistic control — OU's mean-reversion prevents the large detuning excursions that make directional information valuable. The PID comparison is, frankly, the starkest finding: a 14-fold difference in standard deviation is not the signature of a slightly worse controller but of one that collapses categorically on a subset of episodes.</w:t>
      </w:r>
    </w:p>
    <w:p>
      <w:pPr>
        <w:spacing w:after="80" w:before="80"/>
        <w:ind/>
        <w:jc w:val="both"/>
      </w:pPr>
      <w:r>
        <w:rPr>
          <w:rFonts w:ascii="Times New Roman" w:cs="Times New Roman" w:eastAsia="Times New Roman" w:hAnsi="Times New Roman"/>
          <w:b w:val="false"/>
          <w:bCs w:val="false"/>
          <w:i w:val="false"/>
          <w:iCs w:val="false"/>
          <w:sz w:val="20"/>
          <w:szCs w:val="20"/>
        </w:rPr>
        <w:t xml:space="preserve">The Qiskit Aer transfer study is preliminary — 34.3% near-resonance after QACT is not a deployable result — but it locates the problem precisely. Binomial shot noise has a fundamentally different amplitude distribution than additive Gaussian noise, and the VecNormalize statistics trained on the classical environment corrupt the gradient signal the policy relies on. Both are tractable. Physical LC resonator deployment, using the designed ESP32-based circuit, remains the outstanding validation step — one that would close the loop between the simulation results and the real hardware context that motivated this work.</w:t>
      </w:r>
    </w:p>
    <w:p>
      <w:pPr>
        <w:spacing w:after="80" w:before="0"/>
      </w:pPr>
      <w:r>
        <w:t xml:space="preserve"/>
      </w:r>
    </w:p>
    <w:p>
      <w:pPr>
        <w:spacing w:after="80" w:before="160"/>
      </w:pPr>
      <w:r>
        <w:rPr>
          <w:rFonts w:ascii="Times New Roman" w:cs="Times New Roman" w:eastAsia="Times New Roman" w:hAnsi="Times New Roman"/>
          <w:b/>
          <w:bCs/>
          <w:caps/>
          <w:sz w:val="20"/>
          <w:szCs w:val="20"/>
        </w:rPr>
        <w:t xml:space="preserve">References</w:t>
      </w:r>
    </w:p>
    <w:p>
      <w:pPr>
        <w:spacing w:after="80" w:before="80"/>
        <w:ind/>
        <w:jc w:val="left"/>
      </w:pPr>
      <w:r>
        <w:rPr>
          <w:rFonts w:ascii="Times New Roman" w:cs="Times New Roman" w:eastAsia="Times New Roman" w:hAnsi="Times New Roman"/>
          <w:b w:val="false"/>
          <w:bCs w:val="false"/>
          <w:i w:val="false"/>
          <w:iCs w:val="false"/>
          <w:sz w:val="20"/>
          <w:szCs w:val="20"/>
        </w:rPr>
        <w:t xml:space="preserve">[1] Y. Baum et al., "Experimental Deep Reinforcement Learning for Error-Robust Gate-Set Design on a Superconducting Qubit," PRX Quantum, 2021.</w:t>
      </w:r>
    </w:p>
    <w:p>
      <w:pPr>
        <w:spacing w:after="80" w:before="80"/>
        <w:ind/>
        <w:jc w:val="left"/>
      </w:pPr>
      <w:r>
        <w:rPr>
          <w:rFonts w:ascii="Times New Roman" w:cs="Times New Roman" w:eastAsia="Times New Roman" w:hAnsi="Times New Roman"/>
          <w:b w:val="false"/>
          <w:bCs w:val="false"/>
          <w:i w:val="false"/>
          <w:iCs w:val="false"/>
          <w:sz w:val="20"/>
          <w:szCs w:val="20"/>
        </w:rPr>
        <w:t xml:space="preserve">[2] V. V. Sivak et al., "Model-Free Quantum Control with Reinforcement Learning," Phys. Rev. X, 2022.</w:t>
      </w:r>
    </w:p>
    <w:p>
      <w:pPr>
        <w:spacing w:after="80" w:before="80"/>
        <w:ind/>
        <w:jc w:val="left"/>
      </w:pPr>
      <w:r>
        <w:rPr>
          <w:rFonts w:ascii="Times New Roman" w:cs="Times New Roman" w:eastAsia="Times New Roman" w:hAnsi="Times New Roman"/>
          <w:b w:val="false"/>
          <w:bCs w:val="false"/>
          <w:i w:val="false"/>
          <w:iCs w:val="false"/>
          <w:sz w:val="20"/>
          <w:szCs w:val="20"/>
        </w:rPr>
        <w:t xml:space="preserve">[3] R. Porotti et al., "Coherent Transport of Quantum States by Deep Reinforcement Learning," Commun. Phys., 2019.</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2026-05-21T14:55:41.922Z</dcterms:created>
  <dcterms:modified xsi:type="dcterms:W3CDTF">2026-05-21T14:55:41.922Z</dcterms:modified>
</cp:coreProperties>
</file>

<file path=docProps/custom.xml><?xml version="1.0" encoding="utf-8"?>
<Properties xmlns="http://schemas.openxmlformats.org/officeDocument/2006/custom-properties" xmlns:vt="http://schemas.openxmlformats.org/officeDocument/2006/docPropsVTypes"/>
</file>