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773C8">
      <w:pPr>
        <w:spacing w:after="40"/>
        <w:jc w:val="center"/>
      </w:pPr>
      <w:r>
        <w:rPr>
          <w:b/>
          <w:bCs/>
          <w:color w:val="1F3B57"/>
          <w:sz w:val="32"/>
          <w:szCs w:val="32"/>
        </w:rPr>
        <w:t>Capstone Project Pre-Submission Document</w:t>
      </w:r>
    </w:p>
    <w:p w14:paraId="2FA1F453">
      <w:pPr>
        <w:spacing w:after="40"/>
        <w:jc w:val="center"/>
      </w:pPr>
      <w:r>
        <w:rPr>
          <w:b/>
          <w:bCs/>
          <w:color w:val="2E5C8A"/>
          <w:sz w:val="23"/>
          <w:szCs w:val="23"/>
        </w:rPr>
        <w:t>Predicting Employee Attrition and Enabling Proactive Talent Retention at PeopleFirst Global Services</w:t>
      </w:r>
    </w:p>
    <w:p w14:paraId="181D4ABB">
      <w:pPr>
        <w:spacing w:after="200"/>
        <w:jc w:val="center"/>
      </w:pPr>
      <w:r>
        <w:rPr>
          <w:i/>
          <w:iCs/>
          <w:color w:val="555555"/>
          <w:sz w:val="18"/>
          <w:szCs w:val="18"/>
        </w:rPr>
        <w:t>Domain: HR Analytics &amp; Workforce Management</w:t>
      </w:r>
    </w:p>
    <w:p w14:paraId="3CA501A3">
      <w:pPr>
        <w:pStyle w:val="2"/>
      </w:pPr>
      <w:r>
        <w:t>1. Business Problem Understanding</w:t>
      </w:r>
    </w:p>
    <w:p w14:paraId="3F7C76DB">
      <w:pPr>
        <w:pStyle w:val="3"/>
      </w:pPr>
      <w:r>
        <w:t>Domain and Business Context</w:t>
      </w:r>
    </w:p>
    <w:p w14:paraId="0522401F">
      <w:pPr>
        <w:spacing w:after="90"/>
      </w:pPr>
      <w:r>
        <w:t>PeopleFirst Global Services is a multinational organization spanning technology consulting, business process services, engineering solutions, and digital transformation. Rapid hiring over the past five years has been accompanied by rising voluntary attrition, particularly among high-performing employees, creating risks to project delivery, client commitments, and organizational knowledge continuity. Retention efforts today are largely reactive, triggered only after an employee signals intent to leave.</w:t>
      </w:r>
    </w:p>
    <w:p w14:paraId="7E7CE423">
      <w:pPr>
        <w:pStyle w:val="3"/>
      </w:pPr>
      <w:r>
        <w:t>Business Problem</w:t>
      </w:r>
    </w:p>
    <w:p w14:paraId="031E05C5">
      <w:pPr>
        <w:pStyle w:val="16"/>
        <w:numPr>
          <w:ilvl w:val="0"/>
          <w:numId w:val="1"/>
        </w:numPr>
        <w:spacing w:after="50"/>
      </w:pPr>
      <w:r>
        <w:t>Rising and unpredictable voluntary attrition across business units, with high replacement costs (recruitment, onboarding, training, lost productivity).</w:t>
      </w:r>
    </w:p>
    <w:p w14:paraId="5701D264">
      <w:pPr>
        <w:pStyle w:val="16"/>
        <w:numPr>
          <w:ilvl w:val="0"/>
          <w:numId w:val="1"/>
        </w:numPr>
        <w:spacing w:after="50"/>
      </w:pPr>
      <w:r>
        <w:t>Attrition is concentrated among high performers and specialized roles, increasing the impact on delivery quality and client satisfaction.</w:t>
      </w:r>
    </w:p>
    <w:p w14:paraId="2AAEA3B6">
      <w:pPr>
        <w:pStyle w:val="16"/>
        <w:numPr>
          <w:ilvl w:val="0"/>
          <w:numId w:val="1"/>
        </w:numPr>
        <w:spacing w:after="50"/>
      </w:pPr>
      <w:r>
        <w:t xml:space="preserve">Workforce signals (engagement, performance, compensation, career growth, training participation) are </w:t>
      </w:r>
      <w:r>
        <w:rPr>
          <w:rFonts w:hint="default"/>
          <w:lang w:val="en-IN"/>
        </w:rPr>
        <w:t xml:space="preserve">seperated </w:t>
      </w:r>
      <w:r>
        <w:t>across multiple legacy HR systems and not used proactively.</w:t>
      </w:r>
    </w:p>
    <w:p w14:paraId="18927ED6">
      <w:pPr>
        <w:pStyle w:val="2"/>
      </w:pPr>
      <w:r>
        <w:t>2. Objective Formulation</w:t>
      </w:r>
    </w:p>
    <w:p w14:paraId="0B8EB4E1">
      <w:pPr>
        <w:pStyle w:val="3"/>
      </w:pPr>
      <w:r>
        <w:t>Business Objective</w:t>
      </w:r>
    </w:p>
    <w:p w14:paraId="5407256B">
      <w:pPr>
        <w:spacing w:after="90"/>
      </w:pPr>
      <w:r>
        <w:t>Enable PeopleFirst's HR Business Partners and leadership to shift from reactive to proactive talent management by identifying employees at elevated risk of attrition early enough to intervene, thereby reducing turnover costs and protecting delivery continuity.</w:t>
      </w:r>
    </w:p>
    <w:p w14:paraId="7D586C81">
      <w:pPr>
        <w:pStyle w:val="3"/>
      </w:pPr>
      <w:r>
        <w:t>Analytical Objective</w:t>
      </w:r>
    </w:p>
    <w:p w14:paraId="7533B84C">
      <w:pPr>
        <w:pStyle w:val="16"/>
        <w:numPr>
          <w:ilvl w:val="0"/>
          <w:numId w:val="1"/>
        </w:numPr>
        <w:spacing w:after="50"/>
      </w:pPr>
      <w:r>
        <w:t>Build a classification model that estimates each employee's probability of voluntary attrition using demographic, compensation, performance, engagement, and tenure data.</w:t>
      </w:r>
    </w:p>
    <w:p w14:paraId="35892558">
      <w:pPr>
        <w:pStyle w:val="16"/>
        <w:numPr>
          <w:ilvl w:val="0"/>
          <w:numId w:val="1"/>
        </w:numPr>
        <w:spacing w:after="50"/>
      </w:pPr>
      <w:r>
        <w:t>Identify and rank the key drivers of attrition (e.g., compensation gaps, manager relationship, engagement scores, promotion velocity) to guide targeted retention actions.</w:t>
      </w:r>
    </w:p>
    <w:p w14:paraId="29ED6845">
      <w:pPr>
        <w:pStyle w:val="16"/>
        <w:numPr>
          <w:ilvl w:val="0"/>
          <w:numId w:val="1"/>
        </w:numPr>
        <w:spacing w:after="50"/>
      </w:pPr>
      <w:r>
        <w:t>Segment the workforce into risk tiers (High/Medium/Low) to support prioritized, resource-efficient HR interventions.</w:t>
      </w:r>
    </w:p>
    <w:p w14:paraId="65FCFC18">
      <w:pPr>
        <w:pStyle w:val="2"/>
      </w:pPr>
      <w:r>
        <w:t>3. Challenges and Constraints</w:t>
      </w:r>
    </w:p>
    <w:p w14:paraId="4539890F">
      <w:pPr>
        <w:pStyle w:val="3"/>
      </w:pPr>
      <w:r>
        <w:t>Key Challenges</w:t>
      </w:r>
    </w:p>
    <w:p w14:paraId="4358C38C">
      <w:pPr>
        <w:pStyle w:val="16"/>
        <w:numPr>
          <w:ilvl w:val="0"/>
          <w:numId w:val="1"/>
        </w:numPr>
        <w:spacing w:after="50"/>
      </w:pPr>
      <w:r>
        <w:t>Data fragmentation: information originates from multiple HR, performance, and engagement systems with inconsistent schemas and legacy attributes.</w:t>
      </w:r>
    </w:p>
    <w:p w14:paraId="3D05CD18">
      <w:pPr>
        <w:pStyle w:val="16"/>
        <w:numPr>
          <w:ilvl w:val="0"/>
          <w:numId w:val="1"/>
        </w:numPr>
        <w:spacing w:after="50"/>
      </w:pPr>
      <w:r>
        <w:t>Class imbalance: employees who leave are typically a minority class, which can bias models toward predicting “no attrition.”</w:t>
      </w:r>
    </w:p>
    <w:p w14:paraId="0B229A6F">
      <w:pPr>
        <w:pStyle w:val="16"/>
        <w:numPr>
          <w:ilvl w:val="0"/>
          <w:numId w:val="1"/>
        </w:numPr>
        <w:spacing w:after="50"/>
      </w:pPr>
      <w:r>
        <w:t>Label and timing ambiguity: voluntary vs. involuntary exits may not be clearly distinguished; engagement-survey timing may not align with HR records.</w:t>
      </w:r>
    </w:p>
    <w:p w14:paraId="48598103">
      <w:pPr>
        <w:pStyle w:val="16"/>
        <w:numPr>
          <w:ilvl w:val="0"/>
          <w:numId w:val="1"/>
        </w:numPr>
        <w:spacing w:after="50"/>
      </w:pPr>
      <w:r>
        <w:t>Ethical and adoption risk: predictive flags on individuals can create privacy concerns and may be misused if not paired with clear HR governance and manager training.</w:t>
      </w:r>
    </w:p>
    <w:p w14:paraId="42888141">
      <w:pPr>
        <w:pStyle w:val="16"/>
        <w:numPr>
          <w:ilvl w:val="0"/>
          <w:numId w:val="1"/>
        </w:numPr>
        <w:spacing w:after="50"/>
      </w:pPr>
      <w:r>
        <w:t>Correlation vs. causation: identified attrition drivers are statistical associations, not proof of causal effect, and must be validated with HR domain expertise.</w:t>
      </w:r>
    </w:p>
    <w:p w14:paraId="739DB0AA">
      <w:pPr>
        <w:pStyle w:val="3"/>
      </w:pPr>
      <w:r>
        <w:t>Assumptions and Limitations</w:t>
      </w:r>
    </w:p>
    <w:p w14:paraId="6D150396">
      <w:pPr>
        <w:pStyle w:val="16"/>
        <w:numPr>
          <w:ilvl w:val="0"/>
          <w:numId w:val="1"/>
        </w:numPr>
        <w:spacing w:after="50"/>
      </w:pPr>
      <w:r>
        <w:t>The historical dataset is assumed reasonably representative of current workforce dynamics and business conditions.</w:t>
      </w:r>
    </w:p>
    <w:p w14:paraId="407308B9">
      <w:pPr>
        <w:pStyle w:val="16"/>
        <w:numPr>
          <w:ilvl w:val="0"/>
          <w:numId w:val="1"/>
        </w:numPr>
        <w:spacing w:after="50"/>
      </w:pPr>
      <w:r>
        <w:t>“Attrition” is treated as voluntary resignation unless the dataset indicates otherwise; involuntary exits will be excluded or modeled separately if identifiable.</w:t>
      </w:r>
    </w:p>
    <w:p w14:paraId="4CB27C6B">
      <w:pPr>
        <w:pStyle w:val="16"/>
        <w:numPr>
          <w:ilvl w:val="0"/>
          <w:numId w:val="1"/>
        </w:numPr>
        <w:spacing w:after="50"/>
      </w:pPr>
      <w:r>
        <w:t>Legacy attributes with high missingness or ambiguous definitions will be documented and either imputed with justification or excluded.</w:t>
      </w:r>
    </w:p>
    <w:p w14:paraId="5788595A">
      <w:pPr>
        <w:pStyle w:val="16"/>
        <w:numPr>
          <w:ilvl w:val="0"/>
          <w:numId w:val="1"/>
        </w:numPr>
        <w:spacing w:after="50"/>
      </w:pPr>
      <w:r>
        <w:t>Model outputs are decision-support recommendations for HR, not automated employment decisions.</w:t>
      </w:r>
    </w:p>
    <w:p w14:paraId="0A513DC1">
      <w:pPr>
        <w:pStyle w:val="2"/>
      </w:pPr>
      <w:r>
        <w:t>4. Background Study / Literature Review</w:t>
      </w:r>
    </w:p>
    <w:p w14:paraId="101AB5AB">
      <w:pPr>
        <w:spacing w:after="90"/>
      </w:pPr>
      <w:r>
        <w:t>HR analytics and employee-attrition prediction is a well-studied applied machine learning problem, with extensive industry case studies and openly available benchmark datasets (such as IBM's HR Analytics Employee Attrition dataset) commonly used to evaluate modeling approaches. Across this body of work, a few patterns are consistent:</w:t>
      </w:r>
    </w:p>
    <w:p w14:paraId="020AD1A1">
      <w:pPr>
        <w:pStyle w:val="16"/>
        <w:numPr>
          <w:ilvl w:val="0"/>
          <w:numId w:val="1"/>
        </w:numPr>
        <w:spacing w:after="50"/>
      </w:pPr>
      <w:r>
        <w:t>Tree-based ensemble methods (Random Forest, and gradient boosting frameworks such as XGBoost and LightGBM) generally outperform simple linear baselines on attrition prediction tasks because attrition drivers interact non-linearly (e.g., low pay combined with long commute and limited growth).</w:t>
      </w:r>
    </w:p>
    <w:p w14:paraId="40F28B25">
      <w:pPr>
        <w:pStyle w:val="16"/>
        <w:numPr>
          <w:ilvl w:val="0"/>
          <w:numId w:val="1"/>
        </w:numPr>
        <w:spacing w:after="50"/>
      </w:pPr>
      <w:r>
        <w:t>Logistic Regression remains widely used as an interpretable baseline and for producing odds-ratio style insights that are easy to communicate to HR stakeholders.</w:t>
      </w:r>
    </w:p>
    <w:p w14:paraId="1B249B50">
      <w:pPr>
        <w:pStyle w:val="16"/>
        <w:numPr>
          <w:ilvl w:val="0"/>
          <w:numId w:val="1"/>
        </w:numPr>
        <w:spacing w:after="50"/>
      </w:pPr>
      <w:r>
        <w:t>Class-imbalance handling techniques (SMOTE, class weighting, threshold tuning) are standard practice given that attrition events are typically a minority outcome.</w:t>
      </w:r>
    </w:p>
    <w:p w14:paraId="40DBAEE6">
      <w:pPr>
        <w:pStyle w:val="16"/>
        <w:numPr>
          <w:ilvl w:val="0"/>
          <w:numId w:val="1"/>
        </w:numPr>
        <w:spacing w:after="50"/>
      </w:pPr>
      <w:r>
        <w:t>Model explainability methods (feature importance, partial dependence, SHAP values) are increasingly expected alongside predictive accuracy so HR teams can act on “why,” not just “who.”</w:t>
      </w:r>
    </w:p>
    <w:p w14:paraId="6B8D81FC">
      <w:pPr>
        <w:pStyle w:val="16"/>
        <w:numPr>
          <w:ilvl w:val="0"/>
          <w:numId w:val="1"/>
        </w:numPr>
        <w:spacing w:after="50"/>
      </w:pPr>
      <w:r>
        <w:t>Recurring drivers reported across industry case studies include compensation competitiveness, manager relationship quality, overtime/workload, career growth and promotion velocity, tenure stage (especially early tenure), and engagement survey sentiment.</w:t>
      </w:r>
    </w:p>
    <w:p w14:paraId="1AB7B904">
      <w:pPr>
        <w:spacing w:after="90"/>
      </w:pPr>
      <w:r>
        <w:t>The team will supplement this initial understanding with independent research into recent academic papers, vendor whitepapers (e.g., from major HR analytics platforms), and industry reports during the project, and will document specific sources reviewed in the final report.</w:t>
      </w:r>
    </w:p>
    <w:p w14:paraId="181E71C0">
      <w:pPr>
        <w:pStyle w:val="2"/>
      </w:pPr>
      <w:r>
        <w:t>5. Proposed Methodology / Solution Approach</w:t>
      </w:r>
    </w:p>
    <w:p w14:paraId="0C9306CC">
      <w:pPr>
        <w:spacing w:after="90"/>
      </w:pPr>
      <w:r>
        <w:t>The team will follow a structured, classical machine learning pipeline emphasizing interpretability alongside predictive performance, given the HR decision-support context.</w:t>
      </w:r>
    </w:p>
    <w:p w14:paraId="6D2F4015">
      <w:pPr>
        <w:pStyle w:val="3"/>
      </w:pPr>
      <w:r>
        <w:t>Solution Workflow</w:t>
      </w:r>
    </w:p>
    <w:tbl>
      <w:tblPr>
        <w:tblStyle w:val="9"/>
        <w:tblW w:w="106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5"/>
        <w:gridCol w:w="1525"/>
        <w:gridCol w:w="1525"/>
        <w:gridCol w:w="1525"/>
        <w:gridCol w:w="1525"/>
        <w:gridCol w:w="1525"/>
        <w:gridCol w:w="1526"/>
      </w:tblGrid>
      <w:tr w14:paraId="056D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32" w:hRule="atLeast"/>
        </w:trPr>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5FF96356">
            <w:pPr>
              <w:jc w:val="center"/>
            </w:pPr>
            <w:r>
              <w:rPr>
                <w:b/>
                <w:bCs/>
                <w:color w:val="FFFFFF"/>
                <w:sz w:val="14"/>
                <w:szCs w:val="14"/>
              </w:rPr>
              <w:t>1. Data Collection &amp; Integration</w:t>
            </w:r>
          </w:p>
        </w:tc>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45E719F6">
            <w:pPr>
              <w:jc w:val="center"/>
            </w:pPr>
            <w:r>
              <w:rPr>
                <w:b/>
                <w:bCs/>
                <w:color w:val="FFFFFF"/>
                <w:sz w:val="14"/>
                <w:szCs w:val="14"/>
              </w:rPr>
              <w:t>2. Data Cleaning &amp; Normalization</w:t>
            </w:r>
          </w:p>
        </w:tc>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42E55B58">
            <w:pPr>
              <w:jc w:val="center"/>
            </w:pPr>
            <w:r>
              <w:rPr>
                <w:b/>
                <w:bCs/>
                <w:color w:val="FFFFFF"/>
                <w:sz w:val="14"/>
                <w:szCs w:val="14"/>
              </w:rPr>
              <w:t>3. Exploratory Data Analysis</w:t>
            </w:r>
          </w:p>
        </w:tc>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19797281">
            <w:pPr>
              <w:jc w:val="center"/>
            </w:pPr>
            <w:r>
              <w:rPr>
                <w:b/>
                <w:bCs/>
                <w:color w:val="FFFFFF"/>
                <w:sz w:val="14"/>
                <w:szCs w:val="14"/>
              </w:rPr>
              <w:t>4. Feature Engineering &amp; Class Balancing</w:t>
            </w:r>
          </w:p>
        </w:tc>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5A44FEF9">
            <w:pPr>
              <w:jc w:val="center"/>
            </w:pPr>
            <w:r>
              <w:rPr>
                <w:b/>
                <w:bCs/>
                <w:color w:val="FFFFFF"/>
                <w:sz w:val="14"/>
                <w:szCs w:val="14"/>
              </w:rPr>
              <w:t>5. Model Development</w:t>
            </w:r>
          </w:p>
        </w:tc>
        <w:tc>
          <w:tcPr>
            <w:tcW w:w="1525"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45E3AF66">
            <w:pPr>
              <w:jc w:val="center"/>
            </w:pPr>
            <w:r>
              <w:rPr>
                <w:b/>
                <w:bCs/>
                <w:color w:val="FFFFFF"/>
                <w:sz w:val="14"/>
                <w:szCs w:val="14"/>
              </w:rPr>
              <w:t>6. Model Evaluation &amp; Selection</w:t>
            </w:r>
          </w:p>
        </w:tc>
        <w:tc>
          <w:tcPr>
            <w:tcW w:w="1526" w:type="dxa"/>
            <w:tcBorders>
              <w:top w:val="single" w:color="CCCCCC" w:sz="0" w:space="0"/>
              <w:left w:val="single" w:color="CCCCCC" w:sz="0" w:space="0"/>
              <w:bottom w:val="single" w:color="CCCCCC" w:sz="0" w:space="0"/>
              <w:right w:val="single" w:color="CCCCCC" w:sz="0" w:space="0"/>
            </w:tcBorders>
            <w:shd w:val="clear" w:color="auto" w:fill="2E5C8A"/>
            <w:tcMar>
              <w:top w:w="100" w:type="dxa"/>
              <w:left w:w="70" w:type="dxa"/>
              <w:bottom w:w="100" w:type="dxa"/>
              <w:right w:w="70" w:type="dxa"/>
            </w:tcMar>
            <w:vAlign w:val="center"/>
          </w:tcPr>
          <w:p w14:paraId="06BF0728">
            <w:pPr>
              <w:jc w:val="center"/>
            </w:pPr>
            <w:r>
              <w:rPr>
                <w:b/>
                <w:bCs/>
                <w:color w:val="FFFFFF"/>
                <w:sz w:val="14"/>
                <w:szCs w:val="14"/>
              </w:rPr>
              <w:t>7. Insights &amp; Actions</w:t>
            </w:r>
          </w:p>
        </w:tc>
      </w:tr>
    </w:tbl>
    <w:p w14:paraId="0D84CDF3">
      <w:pPr>
        <w:spacing w:after="160"/>
      </w:pPr>
    </w:p>
    <w:p w14:paraId="5163D75C">
      <w:pPr>
        <w:pStyle w:val="3"/>
      </w:pPr>
      <w:r>
        <w:t>Approach Details</w:t>
      </w:r>
    </w:p>
    <w:p w14:paraId="07E593C3">
      <w:pPr>
        <w:pStyle w:val="16"/>
        <w:numPr>
          <w:ilvl w:val="0"/>
          <w:numId w:val="1"/>
        </w:numPr>
        <w:spacing w:after="50"/>
      </w:pPr>
      <w:r>
        <w:t>Data Preparation &amp; Normalization: consolidate source systems, resolve legacy attributes, handle missing values, and encode categorical features. Since data originates from multiple HR/performance/engagement systems with differing scales and formats, numeric fields will be normalized/standardized before feature engineering given dedicated schedule time, as inconsistent scaling across sources can distort model training.</w:t>
      </w:r>
    </w:p>
    <w:p w14:paraId="13F594A0">
      <w:pPr>
        <w:pStyle w:val="16"/>
        <w:numPr>
          <w:ilvl w:val="0"/>
          <w:numId w:val="1"/>
        </w:numPr>
        <w:spacing w:after="50"/>
      </w:pPr>
      <w:r>
        <w:t>EDA: examine attrition rate by department, tenure band, compensation band, performance rating, and engagement score to surface initial hypotheses.</w:t>
      </w:r>
    </w:p>
    <w:p w14:paraId="03816CF1">
      <w:pPr>
        <w:pStyle w:val="16"/>
        <w:numPr>
          <w:ilvl w:val="0"/>
          <w:numId w:val="1"/>
        </w:numPr>
        <w:spacing w:after="50"/>
      </w:pPr>
      <w:r>
        <w:t>Feature Engineering: derive features such as tenure-in-role, time-since-last-promotion, compensation-to-band-median ratio, and engagement trend; apply SMOTE or class weighting for imbalance.</w:t>
      </w:r>
    </w:p>
    <w:p w14:paraId="5CEA9A4A">
      <w:pPr>
        <w:pStyle w:val="16"/>
        <w:numPr>
          <w:ilvl w:val="0"/>
          <w:numId w:val="1"/>
        </w:numPr>
        <w:spacing w:after="50"/>
      </w:pPr>
      <w:r>
        <w:t>Train/Test Split Strategy: where timestamps (e.g., hire/review/survey dates) are available, a time-based (chronological) split will be used training on earlier periods, testing on later ones to avoid data leakage and inflated accuracy from future information leaking into training. Otherwise, a stratified random split preserving the attrition class ratio will be used, with leakage-aware cross-validation.</w:t>
      </w:r>
    </w:p>
    <w:p w14:paraId="3D615002">
      <w:pPr>
        <w:pStyle w:val="16"/>
        <w:numPr>
          <w:ilvl w:val="0"/>
          <w:numId w:val="1"/>
        </w:numPr>
        <w:spacing w:after="50"/>
      </w:pPr>
      <w:r>
        <w:t>Modeling: train Logistic Regression as an interpretable baseline, then LightGBM as the primary high-performance model for capturing non-linear feature interactions; XGBoost will be run as a secondary comparison model. Hyperparameters tuned via cross-validated grid/random search.</w:t>
      </w:r>
    </w:p>
    <w:p w14:paraId="0369F936">
      <w:pPr>
        <w:pStyle w:val="16"/>
        <w:numPr>
          <w:ilvl w:val="0"/>
          <w:numId w:val="1"/>
        </w:numPr>
        <w:spacing w:after="50"/>
      </w:pPr>
      <w:r>
        <w:t>Rationale for combining Logistic Regression and LightGBM: Logistic Regression gives transparent, explainable coefficients for HR stakeholders, while LightGBM captures non-linear feature interactions a linear model cannot. Together they balance interpretability with predictive strength; SHAP on LightGBM recovers feature-level explainability.</w:t>
      </w:r>
    </w:p>
    <w:p w14:paraId="1C3362B2">
      <w:pPr>
        <w:pStyle w:val="16"/>
        <w:numPr>
          <w:ilvl w:val="0"/>
          <w:numId w:val="1"/>
        </w:numPr>
        <w:spacing w:after="50"/>
      </w:pPr>
      <w:r>
        <w:t>Evaluation: compare models using Accuracy, Precision, Recall, F1-score, and ROC-AUC, prioritizing Recall on the attrition class since missed at-risk employees are costlier than false alarms.</w:t>
      </w:r>
    </w:p>
    <w:p w14:paraId="5C0DF3C8">
      <w:pPr>
        <w:pStyle w:val="16"/>
        <w:numPr>
          <w:ilvl w:val="0"/>
          <w:numId w:val="1"/>
        </w:numPr>
        <w:spacing w:after="50"/>
      </w:pPr>
      <w:r>
        <w:t>Interpretation &amp; Recommendations: use feature importance/SHAP to explain key drivers, segment employees into risk tiers, and translate findings into targeted retention recommendations.</w:t>
      </w:r>
    </w:p>
    <w:p w14:paraId="7C7C7420">
      <w:pPr>
        <w:pStyle w:val="2"/>
      </w:pPr>
      <w:r>
        <w:t>6. Proposed Timeline</w:t>
      </w:r>
    </w:p>
    <w:p w14:paraId="6B636009">
      <w:pPr>
        <w:spacing w:after="90"/>
      </w:pPr>
      <w:r>
        <w:t>The project will be executed over a 3-month schedule by a team of 3 members, with each stage of the workflow assigned a specific time</w:t>
      </w:r>
      <w:r>
        <w:rPr>
          <w:rFonts w:hint="default"/>
          <w:lang w:val="en-IN"/>
        </w:rPr>
        <w:t xml:space="preserve"> </w:t>
      </w:r>
      <w:r>
        <w:t>frame as follows:</w:t>
      </w:r>
    </w:p>
    <w:p w14:paraId="5B2BE779">
      <w:pPr>
        <w:spacing w:after="160"/>
      </w:pPr>
    </w:p>
    <w:tbl>
      <w:tblPr>
        <w:tblStyle w:val="9"/>
        <w:tblpPr w:leftFromText="180" w:rightFromText="180" w:vertAnchor="text" w:horzAnchor="page" w:tblpX="1755" w:tblpY="41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0"/>
        <w:gridCol w:w="1800"/>
        <w:gridCol w:w="4500"/>
      </w:tblGrid>
      <w:tr w14:paraId="5BBF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4B321A50">
            <w:pPr>
              <w:jc w:val="left"/>
            </w:pPr>
            <w:bookmarkStart w:id="0" w:name="_GoBack"/>
            <w:bookmarkEnd w:id="0"/>
            <w:r>
              <w:rPr>
                <w:b/>
                <w:bCs/>
                <w:color w:val="FFFFFF"/>
                <w:sz w:val="20"/>
                <w:szCs w:val="20"/>
              </w:rPr>
              <w:t>Phase</w:t>
            </w:r>
          </w:p>
        </w:tc>
        <w:tc>
          <w:tcPr>
            <w:tcW w:w="18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580E8802">
            <w:pPr>
              <w:jc w:val="center"/>
            </w:pPr>
            <w:r>
              <w:rPr>
                <w:b/>
                <w:bCs/>
                <w:color w:val="FFFFFF"/>
                <w:sz w:val="20"/>
                <w:szCs w:val="20"/>
              </w:rPr>
              <w:t>Timeline</w:t>
            </w:r>
          </w:p>
        </w:tc>
        <w:tc>
          <w:tcPr>
            <w:tcW w:w="45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BA45022">
            <w:pPr>
              <w:jc w:val="left"/>
            </w:pPr>
            <w:r>
              <w:rPr>
                <w:b/>
                <w:bCs/>
                <w:color w:val="FFFFFF"/>
                <w:sz w:val="20"/>
                <w:szCs w:val="20"/>
              </w:rPr>
              <w:t>Key Activities</w:t>
            </w:r>
          </w:p>
        </w:tc>
      </w:tr>
      <w:tr w14:paraId="7E60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4A4D1F04">
            <w:pPr>
              <w:jc w:val="left"/>
            </w:pPr>
            <w:r>
              <w:rPr>
                <w:b/>
                <w:bCs/>
                <w:color w:val="000000"/>
                <w:sz w:val="20"/>
                <w:szCs w:val="20"/>
              </w:rPr>
              <w:t>1. Data Collection &amp; Integration</w:t>
            </w:r>
          </w:p>
        </w:tc>
        <w:tc>
          <w:tcPr>
            <w:tcW w:w="18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6E0760EC">
            <w:pPr>
              <w:jc w:val="center"/>
              <w:rPr>
                <w:b w:val="0"/>
                <w:bCs w:val="0"/>
                <w:color w:val="000000"/>
                <w:sz w:val="20"/>
                <w:szCs w:val="20"/>
              </w:rPr>
            </w:pPr>
            <w:r>
              <w:rPr>
                <w:b w:val="0"/>
                <w:bCs w:val="0"/>
                <w:color w:val="000000"/>
                <w:sz w:val="20"/>
                <w:szCs w:val="20"/>
              </w:rPr>
              <w:t xml:space="preserve">Month 1 </w:t>
            </w:r>
          </w:p>
          <w:p w14:paraId="6DCF30B4">
            <w:pPr>
              <w:jc w:val="center"/>
            </w:pPr>
            <w:r>
              <w:rPr>
                <w:b w:val="0"/>
                <w:bCs w:val="0"/>
                <w:color w:val="000000"/>
                <w:sz w:val="20"/>
                <w:szCs w:val="20"/>
              </w:rPr>
              <w:t>Weeks 1–2</w:t>
            </w:r>
          </w:p>
        </w:tc>
        <w:tc>
          <w:tcPr>
            <w:tcW w:w="45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082D4A62">
            <w:pPr>
              <w:jc w:val="left"/>
            </w:pPr>
            <w:r>
              <w:rPr>
                <w:b w:val="0"/>
                <w:bCs w:val="0"/>
                <w:color w:val="000000"/>
                <w:sz w:val="20"/>
                <w:szCs w:val="20"/>
              </w:rPr>
              <w:t>Consolidate HR, performance, and engagement data sources; initial data quality assessment.</w:t>
            </w:r>
          </w:p>
        </w:tc>
      </w:tr>
      <w:tr w14:paraId="6ABFB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F3E6AB">
            <w:pPr>
              <w:jc w:val="left"/>
            </w:pPr>
            <w:r>
              <w:rPr>
                <w:b/>
                <w:bCs/>
                <w:color w:val="000000"/>
                <w:sz w:val="20"/>
                <w:szCs w:val="20"/>
              </w:rPr>
              <w:t>2. Data Cleaning, Normalization &amp; Pre</w:t>
            </w:r>
            <w:r>
              <w:rPr>
                <w:rFonts w:hint="default"/>
                <w:b/>
                <w:bCs/>
                <w:color w:val="000000"/>
                <w:sz w:val="20"/>
                <w:szCs w:val="20"/>
                <w:lang w:val="en-IN"/>
              </w:rPr>
              <w:t>-</w:t>
            </w:r>
            <w:r>
              <w:rPr>
                <w:b/>
                <w:bCs/>
                <w:color w:val="000000"/>
                <w:sz w:val="20"/>
                <w:szCs w:val="20"/>
              </w:rPr>
              <w:t>processing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F9F56D">
            <w:pPr>
              <w:jc w:val="center"/>
            </w:pPr>
            <w:r>
              <w:rPr>
                <w:b w:val="0"/>
                <w:bCs w:val="0"/>
                <w:color w:val="000000"/>
                <w:sz w:val="20"/>
                <w:szCs w:val="20"/>
              </w:rPr>
              <w:t>Month 1–2 Weeks 3–5</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1B54E0">
            <w:pPr>
              <w:jc w:val="left"/>
            </w:pPr>
            <w:r>
              <w:rPr>
                <w:b w:val="0"/>
                <w:bCs w:val="0"/>
                <w:color w:val="000000"/>
                <w:sz w:val="20"/>
                <w:szCs w:val="20"/>
              </w:rPr>
              <w:t>Handle missing values, resolve legacy attributes</w:t>
            </w:r>
            <w:r>
              <w:rPr>
                <w:rFonts w:hint="default"/>
                <w:b w:val="0"/>
                <w:bCs w:val="0"/>
                <w:color w:val="000000"/>
                <w:sz w:val="20"/>
                <w:szCs w:val="20"/>
                <w:lang w:val="en-IN"/>
              </w:rPr>
              <w:t>,</w:t>
            </w:r>
            <w:r>
              <w:rPr>
                <w:b w:val="0"/>
                <w:bCs w:val="0"/>
                <w:color w:val="000000"/>
                <w:sz w:val="20"/>
                <w:szCs w:val="20"/>
              </w:rPr>
              <w:t xml:space="preserve"> normalize/scale numeric fields and standardize formats across source systems (critical given multi-system origin); encode categorical features.</w:t>
            </w:r>
          </w:p>
        </w:tc>
      </w:tr>
      <w:tr w14:paraId="2230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12E6956E">
            <w:pPr>
              <w:jc w:val="left"/>
            </w:pPr>
            <w:r>
              <w:rPr>
                <w:b/>
                <w:bCs/>
                <w:color w:val="000000"/>
                <w:sz w:val="20"/>
                <w:szCs w:val="20"/>
              </w:rPr>
              <w:t>3. Exploratory Data Analysis</w:t>
            </w:r>
          </w:p>
        </w:tc>
        <w:tc>
          <w:tcPr>
            <w:tcW w:w="18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7146307A">
            <w:pPr>
              <w:jc w:val="center"/>
              <w:rPr>
                <w:b w:val="0"/>
                <w:bCs w:val="0"/>
                <w:color w:val="000000"/>
                <w:sz w:val="20"/>
                <w:szCs w:val="20"/>
              </w:rPr>
            </w:pPr>
            <w:r>
              <w:rPr>
                <w:b w:val="0"/>
                <w:bCs w:val="0"/>
                <w:color w:val="000000"/>
                <w:sz w:val="20"/>
                <w:szCs w:val="20"/>
              </w:rPr>
              <w:t xml:space="preserve">Month 2 </w:t>
            </w:r>
          </w:p>
          <w:p w14:paraId="4CDDCCD8">
            <w:pPr>
              <w:jc w:val="center"/>
            </w:pPr>
            <w:r>
              <w:rPr>
                <w:b w:val="0"/>
                <w:bCs w:val="0"/>
                <w:color w:val="000000"/>
                <w:sz w:val="20"/>
                <w:szCs w:val="20"/>
              </w:rPr>
              <w:t>Weeks 6–7</w:t>
            </w:r>
          </w:p>
        </w:tc>
        <w:tc>
          <w:tcPr>
            <w:tcW w:w="45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11055F14">
            <w:pPr>
              <w:jc w:val="left"/>
            </w:pPr>
            <w:r>
              <w:rPr>
                <w:b w:val="0"/>
                <w:bCs w:val="0"/>
                <w:color w:val="000000"/>
                <w:sz w:val="20"/>
                <w:szCs w:val="20"/>
              </w:rPr>
              <w:t>Examine attrition patterns by department, tenure, compensation, and engagement.</w:t>
            </w:r>
          </w:p>
        </w:tc>
      </w:tr>
      <w:tr w14:paraId="63BA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0C3574">
            <w:pPr>
              <w:jc w:val="left"/>
            </w:pPr>
            <w:r>
              <w:rPr>
                <w:b/>
                <w:bCs/>
                <w:color w:val="000000"/>
                <w:sz w:val="20"/>
                <w:szCs w:val="20"/>
              </w:rPr>
              <w:t>4. Feature Engineering &amp; Class Balancing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BC2965">
            <w:pPr>
              <w:jc w:val="center"/>
              <w:rPr>
                <w:b w:val="0"/>
                <w:bCs w:val="0"/>
                <w:color w:val="000000"/>
                <w:sz w:val="20"/>
                <w:szCs w:val="20"/>
              </w:rPr>
            </w:pPr>
            <w:r>
              <w:rPr>
                <w:b w:val="0"/>
                <w:bCs w:val="0"/>
                <w:color w:val="000000"/>
                <w:sz w:val="20"/>
                <w:szCs w:val="20"/>
              </w:rPr>
              <w:t xml:space="preserve">Month 2 </w:t>
            </w:r>
          </w:p>
          <w:p w14:paraId="1D2CD3FF">
            <w:pPr>
              <w:jc w:val="center"/>
            </w:pPr>
            <w:r>
              <w:rPr>
                <w:b w:val="0"/>
                <w:bCs w:val="0"/>
                <w:color w:val="000000"/>
                <w:sz w:val="20"/>
                <w:szCs w:val="20"/>
              </w:rPr>
              <w:t>Week 8</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558FFB">
            <w:pPr>
              <w:jc w:val="left"/>
            </w:pPr>
            <w:r>
              <w:rPr>
                <w:b w:val="0"/>
                <w:bCs w:val="0"/>
                <w:color w:val="000000"/>
                <w:sz w:val="20"/>
                <w:szCs w:val="20"/>
              </w:rPr>
              <w:t>Derive new features; apply SMOTE / class weighting to address class imbalance.</w:t>
            </w:r>
          </w:p>
        </w:tc>
      </w:tr>
      <w:tr w14:paraId="1D1B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2067E370">
            <w:pPr>
              <w:jc w:val="left"/>
            </w:pPr>
            <w:r>
              <w:rPr>
                <w:b/>
                <w:bCs/>
                <w:color w:val="000000"/>
                <w:sz w:val="20"/>
                <w:szCs w:val="20"/>
              </w:rPr>
              <w:t>5. Model Development</w:t>
            </w:r>
          </w:p>
        </w:tc>
        <w:tc>
          <w:tcPr>
            <w:tcW w:w="18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5C9532DA">
            <w:pPr>
              <w:jc w:val="center"/>
              <w:rPr>
                <w:b w:val="0"/>
                <w:bCs w:val="0"/>
                <w:color w:val="000000"/>
                <w:sz w:val="20"/>
                <w:szCs w:val="20"/>
              </w:rPr>
            </w:pPr>
            <w:r>
              <w:rPr>
                <w:b w:val="0"/>
                <w:bCs w:val="0"/>
                <w:color w:val="000000"/>
                <w:sz w:val="20"/>
                <w:szCs w:val="20"/>
              </w:rPr>
              <w:t xml:space="preserve">Month 3 </w:t>
            </w:r>
          </w:p>
          <w:p w14:paraId="212E8506">
            <w:pPr>
              <w:jc w:val="center"/>
            </w:pPr>
            <w:r>
              <w:rPr>
                <w:b w:val="0"/>
                <w:bCs w:val="0"/>
                <w:color w:val="000000"/>
                <w:sz w:val="20"/>
                <w:szCs w:val="20"/>
              </w:rPr>
              <w:t>Weeks 9–10</w:t>
            </w:r>
          </w:p>
        </w:tc>
        <w:tc>
          <w:tcPr>
            <w:tcW w:w="45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169B08A3">
            <w:pPr>
              <w:jc w:val="left"/>
            </w:pPr>
            <w:r>
              <w:rPr>
                <w:b w:val="0"/>
                <w:bCs w:val="0"/>
                <w:color w:val="000000"/>
                <w:sz w:val="20"/>
                <w:szCs w:val="20"/>
              </w:rPr>
              <w:t>Time-based (or stratified random) train/test split; train Logistic Regression baseline, LightGBM (primary), and XGBoost (comparison); hyperparameter tuning.</w:t>
            </w:r>
          </w:p>
        </w:tc>
      </w:tr>
      <w:tr w14:paraId="5D29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7F2A0B">
            <w:pPr>
              <w:jc w:val="left"/>
            </w:pPr>
            <w:r>
              <w:rPr>
                <w:b/>
                <w:bCs/>
                <w:color w:val="000000"/>
                <w:sz w:val="20"/>
                <w:szCs w:val="20"/>
              </w:rPr>
              <w:t>6. Model Evaluation &amp; Selection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8117AA">
            <w:pPr>
              <w:jc w:val="center"/>
              <w:rPr>
                <w:b w:val="0"/>
                <w:bCs w:val="0"/>
                <w:color w:val="000000"/>
                <w:sz w:val="20"/>
                <w:szCs w:val="20"/>
              </w:rPr>
            </w:pPr>
            <w:r>
              <w:rPr>
                <w:b w:val="0"/>
                <w:bCs w:val="0"/>
                <w:color w:val="000000"/>
                <w:sz w:val="20"/>
                <w:szCs w:val="20"/>
              </w:rPr>
              <w:t xml:space="preserve">Month 3 </w:t>
            </w:r>
          </w:p>
          <w:p w14:paraId="2DFA5312">
            <w:pPr>
              <w:jc w:val="center"/>
            </w:pPr>
            <w:r>
              <w:rPr>
                <w:b w:val="0"/>
                <w:bCs w:val="0"/>
                <w:color w:val="000000"/>
                <w:sz w:val="20"/>
                <w:szCs w:val="20"/>
              </w:rPr>
              <w:t>Week 11</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22F80B">
            <w:pPr>
              <w:jc w:val="left"/>
            </w:pPr>
            <w:r>
              <w:rPr>
                <w:b w:val="0"/>
                <w:bCs w:val="0"/>
                <w:color w:val="000000"/>
                <w:sz w:val="20"/>
                <w:szCs w:val="20"/>
              </w:rPr>
              <w:t>Compare models using Accuracy, Precision, Recall, F1, and ROC-AUC; select final model.</w:t>
            </w:r>
          </w:p>
        </w:tc>
      </w:tr>
      <w:tr w14:paraId="3219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14D5C7B9">
            <w:pPr>
              <w:jc w:val="left"/>
            </w:pPr>
            <w:r>
              <w:rPr>
                <w:b/>
                <w:bCs/>
                <w:color w:val="000000"/>
                <w:sz w:val="20"/>
                <w:szCs w:val="20"/>
              </w:rPr>
              <w:t>7. Insights &amp; Business Recommendations</w:t>
            </w:r>
          </w:p>
        </w:tc>
        <w:tc>
          <w:tcPr>
            <w:tcW w:w="18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58B1BBB0">
            <w:pPr>
              <w:jc w:val="center"/>
              <w:rPr>
                <w:b w:val="0"/>
                <w:bCs w:val="0"/>
                <w:color w:val="000000"/>
                <w:sz w:val="20"/>
                <w:szCs w:val="20"/>
              </w:rPr>
            </w:pPr>
            <w:r>
              <w:rPr>
                <w:b w:val="0"/>
                <w:bCs w:val="0"/>
                <w:color w:val="000000"/>
                <w:sz w:val="20"/>
                <w:szCs w:val="20"/>
              </w:rPr>
              <w:t xml:space="preserve">Month 3 </w:t>
            </w:r>
          </w:p>
          <w:p w14:paraId="1D516A2A">
            <w:pPr>
              <w:jc w:val="center"/>
            </w:pPr>
            <w:r>
              <w:rPr>
                <w:b w:val="0"/>
                <w:bCs w:val="0"/>
                <w:color w:val="000000"/>
                <w:sz w:val="20"/>
                <w:szCs w:val="20"/>
              </w:rPr>
              <w:t>Week 12</w:t>
            </w:r>
          </w:p>
        </w:tc>
        <w:tc>
          <w:tcPr>
            <w:tcW w:w="4500" w:type="dxa"/>
            <w:tcBorders>
              <w:top w:val="single" w:color="CCCCCC" w:sz="0" w:space="0"/>
              <w:left w:val="single" w:color="CCCCCC" w:sz="0" w:space="0"/>
              <w:bottom w:val="single" w:color="CCCCCC" w:sz="0" w:space="0"/>
              <w:right w:val="single" w:color="CCCCCC" w:sz="0" w:space="0"/>
            </w:tcBorders>
            <w:shd w:val="clear" w:color="auto" w:fill="EAF1F8"/>
            <w:tcMar>
              <w:top w:w="80" w:type="dxa"/>
              <w:left w:w="120" w:type="dxa"/>
              <w:bottom w:w="80" w:type="dxa"/>
              <w:right w:w="120" w:type="dxa"/>
            </w:tcMar>
            <w:vAlign w:val="center"/>
          </w:tcPr>
          <w:p w14:paraId="349BB897">
            <w:pPr>
              <w:jc w:val="left"/>
            </w:pPr>
            <w:r>
              <w:rPr>
                <w:b w:val="0"/>
                <w:bCs w:val="0"/>
                <w:color w:val="000000"/>
                <w:sz w:val="20"/>
                <w:szCs w:val="20"/>
              </w:rPr>
              <w:t>Interpret results with SHAP, segment risk tiers, finalize report, dashboard, and presentation.</w:t>
            </w:r>
          </w:p>
        </w:tc>
      </w:tr>
    </w:tbl>
    <w:p w14:paraId="0526BC2E">
      <w:pPr>
        <w:pStyle w:val="2"/>
      </w:pPr>
      <w:r>
        <w:t xml:space="preserve">7. Expected </w:t>
      </w:r>
      <w:r>
        <w:rPr>
          <w:lang w:val="en-IN"/>
        </w:rPr>
        <w:t>Deliverable</w:t>
      </w:r>
      <w:r>
        <w:t xml:space="preserve"> / Outputs</w:t>
      </w:r>
    </w:p>
    <w:p w14:paraId="295E73E4">
      <w:pPr>
        <w:pStyle w:val="16"/>
        <w:numPr>
          <w:ilvl w:val="0"/>
          <w:numId w:val="1"/>
        </w:numPr>
        <w:spacing w:after="50"/>
      </w:pPr>
      <w:r>
        <w:t>Data Analysis Report covering data understanding, cleaning steps, and key EDA findings on attrition patterns.</w:t>
      </w:r>
    </w:p>
    <w:p w14:paraId="5FC8EFA3">
      <w:pPr>
        <w:pStyle w:val="16"/>
        <w:numPr>
          <w:ilvl w:val="0"/>
          <w:numId w:val="1"/>
        </w:numPr>
        <w:spacing w:after="50"/>
      </w:pPr>
      <w:r>
        <w:t xml:space="preserve">Trained machine learning model(s) </w:t>
      </w:r>
      <w:r>
        <w:rPr>
          <w:rFonts w:hint="default"/>
          <w:lang w:val="en-IN"/>
        </w:rPr>
        <w:t xml:space="preserve">- </w:t>
      </w:r>
      <w:r>
        <w:t>Logistic Regression, LightGBM, and XGBoost with comparative evaluation.</w:t>
      </w:r>
    </w:p>
    <w:p w14:paraId="4B0C93DE">
      <w:pPr>
        <w:pStyle w:val="16"/>
        <w:numPr>
          <w:ilvl w:val="0"/>
          <w:numId w:val="1"/>
        </w:numPr>
        <w:spacing w:after="50"/>
      </w:pPr>
      <w:r>
        <w:t>Dashboard / visualizations summarizing attrition drivers and workforce risk segments for HR stakeholders.</w:t>
      </w:r>
    </w:p>
    <w:p w14:paraId="7663545F">
      <w:pPr>
        <w:pStyle w:val="16"/>
        <w:numPr>
          <w:ilvl w:val="0"/>
          <w:numId w:val="1"/>
        </w:numPr>
        <w:spacing w:after="50"/>
      </w:pPr>
      <w:r>
        <w:t>Business recommendations translating model insights into actionable retention strategies.</w:t>
      </w:r>
    </w:p>
    <w:p w14:paraId="4D70DB48">
      <w:pPr>
        <w:pStyle w:val="16"/>
        <w:numPr>
          <w:ilvl w:val="0"/>
          <w:numId w:val="1"/>
        </w:numPr>
        <w:spacing w:after="50"/>
      </w:pPr>
      <w:r>
        <w:t>Final technical report, well-documented Jupyter notebook(s)/Python scripts, and GitHub repository link.</w:t>
      </w:r>
    </w:p>
    <w:p w14:paraId="0789D787">
      <w:pPr>
        <w:pStyle w:val="16"/>
        <w:numPr>
          <w:ilvl w:val="0"/>
          <w:numId w:val="1"/>
        </w:numPr>
        <w:spacing w:after="50"/>
      </w:pPr>
      <w:r>
        <w:t>Final presentation summarizing problem, approach, findings, and recommendations for leadership.</w:t>
      </w:r>
    </w:p>
    <w:sectPr>
      <w:pgSz w:w="12240" w:h="15840"/>
      <w:pgMar w:top="800" w:right="1000" w:bottom="8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334B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2E5C8A" w:sz="6" w:space="4"/>
      </w:pBdr>
      <w:spacing w:before="140" w:after="100"/>
      <w:outlineLvl w:val="0"/>
    </w:pPr>
    <w:rPr>
      <w:rFonts w:ascii="Arial" w:hAnsi="Arial" w:eastAsia="Arial" w:cs="Arial"/>
      <w:b/>
      <w:bCs/>
      <w:color w:val="1F3B57"/>
      <w:sz w:val="27"/>
      <w:szCs w:val="27"/>
    </w:rPr>
  </w:style>
  <w:style w:type="paragraph" w:styleId="3">
    <w:name w:val="heading 2"/>
    <w:next w:val="1"/>
    <w:qFormat/>
    <w:uiPriority w:val="0"/>
    <w:pPr>
      <w:spacing w:before="100" w:after="50"/>
      <w:outlineLvl w:val="1"/>
    </w:pPr>
    <w:rPr>
      <w:rFonts w:ascii="Arial" w:hAnsi="Arial" w:eastAsia="Arial" w:cs="Arial"/>
      <w:b/>
      <w:bCs/>
      <w:color w:val="2E5C8A"/>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1245</Words>
  <Characters>8447</Characters>
  <TotalTime>2</TotalTime>
  <ScaleCrop>false</ScaleCrop>
  <LinksUpToDate>false</LinksUpToDate>
  <CharactersWithSpaces>9603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2026-06-27T02:24:00Z</dcterms:created>
  <dc:creator>Un-named</dc:creator>
  <cp:lastModifiedBy>Akash Subramaniam</cp:lastModifiedBy>
  <dcterms:modified xsi:type="dcterms:W3CDTF">2026-06-27T02:49:15Z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eyJoZGlkIjoiYzU4YjgxNjNlYzdhZGU3YTg3NjY1YzgwYTg0Y2NjNTcifQ==</vt:lpwstr>
  </property>
  <property fmtid="{D5CDD505-2E9C-101B-9397-08002B2CF9AE}" pid="3" name="KSOProductBuildVer">
    <vt:lpwstr>1033-12.1.0.26880</vt:lpwstr>
  </property>
  <property fmtid="{D5CDD505-2E9C-101B-9397-08002B2CF9AE}" pid="4" name="ICV">
    <vt:lpwstr>1196CAF70CB14273B2395FA8D4D002B5_12</vt:lpwstr>
  </property>
</Properties>
</file>