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F172A"/>
          <w:sz w:val="22"/>
        </w:rPr>
        <w:t>PES UNIVERSITY — DEPARTMENT OF COMPUTER SCIENCE &amp; ENGINEERING</w:t>
      </w:r>
    </w:p>
    <w:p>
      <w:pPr>
        <w:spacing w:before="0" w:after="120"/>
      </w:pPr>
      <w:r>
        <w:rPr>
          <w:b/>
          <w:color w:val="2563EB"/>
          <w:sz w:val="19"/>
        </w:rPr>
        <w:t>Software Engineering Lab (CS351) | Use Case Flow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328"/>
        <w:gridCol w:w="5328"/>
      </w:tblGrid>
      <w:tr>
        <w:tc>
          <w:tcPr>
            <w:tcW w:type="dxa" w:w="5256"/>
            <w:tcMar>
              <w:top w:w="35" w:type="dxa"/>
              <w:bottom w:w="35" w:type="dxa"/>
              <w:left w:w="70" w:type="dxa"/>
              <w:right w:w="70" w:type="dxa"/>
            </w:tcMar>
            <w:shd w:fill="F1F5F9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Problem Statement:</w:t>
            </w:r>
            <w:r>
              <w:rPr>
                <w:color w:val="334155"/>
                <w:sz w:val="17"/>
              </w:rPr>
              <w:t xml:space="preserve"> #40 — Retail, E-Commerce &amp; Finance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70" w:type="dxa"/>
              <w:right w:w="70" w:type="dxa"/>
            </w:tcMar>
            <w:shd w:fill="F1F5F9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System Name:</w:t>
            </w:r>
            <w:r>
              <w:rPr>
                <w:color w:val="334155"/>
                <w:sz w:val="17"/>
              </w:rPr>
              <w:t xml:space="preserve"> Student Startup Crowdfunding Platform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Use Case Name:</w:t>
            </w:r>
            <w:r>
              <w:rPr>
                <w:color w:val="334155"/>
                <w:sz w:val="17"/>
              </w:rPr>
              <w:t xml:space="preserve"> Make Pledge (UC-05)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Primary Actor:</w:t>
            </w:r>
            <w:r>
              <w:rPr>
                <w:color w:val="334155"/>
                <w:sz w:val="17"/>
              </w:rPr>
              <w:t xml:space="preserve"> Campaign Backer</w:t>
            </w:r>
          </w:p>
        </w:tc>
      </w:tr>
      <w:tr>
        <w:tc>
          <w:tcPr>
            <w:tcW w:type="dxa" w:w="5256"/>
            <w:tcMar>
              <w:top w:w="35" w:type="dxa"/>
              <w:bottom w:w="35" w:type="dxa"/>
              <w:left w:w="70" w:type="dxa"/>
              <w:right w:w="70" w:type="dxa"/>
            </w:tcMar>
            <w:shd w:fill="F1F5F9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Secondary Actor:</w:t>
            </w:r>
            <w:r>
              <w:rPr>
                <w:color w:val="334155"/>
                <w:sz w:val="17"/>
              </w:rPr>
              <w:t xml:space="preserve"> Payment Gateway</w:t>
            </w:r>
          </w:p>
        </w:tc>
        <w:tc>
          <w:tcPr>
            <w:tcW w:type="dxa" w:w="5400"/>
            <w:tcMar>
              <w:top w:w="35" w:type="dxa"/>
              <w:bottom w:w="35" w:type="dxa"/>
              <w:left w:w="70" w:type="dxa"/>
              <w:right w:w="70" w:type="dxa"/>
            </w:tcMar>
            <w:shd w:fill="F1F5F9"/>
          </w:tcPr>
          <w:p>
            <w:pPr>
              <w:spacing w:before="0" w:after="0" w:line="252" w:lineRule="auto"/>
            </w:pPr>
            <w:r>
              <w:rPr>
                <w:b/>
                <w:color w:val="0F172A"/>
                <w:sz w:val="17"/>
              </w:rPr>
              <w:t>Stakeholders:</w:t>
            </w:r>
            <w:r>
              <w:rPr>
                <w:color w:val="334155"/>
                <w:sz w:val="17"/>
              </w:rPr>
              <w:t xml:space="preserve"> Student Founder, Campaign Backer</w:t>
            </w:r>
          </w:p>
        </w:tc>
      </w:tr>
    </w:tbl>
    <w:p>
      <w:pPr>
        <w:spacing w:before="100" w:after="40"/>
      </w:pPr>
      <w:r>
        <w:rPr>
          <w:b/>
          <w:color w:val="1E3A8A"/>
          <w:sz w:val="19"/>
        </w:rPr>
        <w:t>1. Preconditions</w:t>
      </w:r>
    </w:p>
    <w:p>
      <w:pPr>
        <w:spacing w:before="0" w:after="20" w:line="252" w:lineRule="auto"/>
        <w:ind w:left="288"/>
      </w:pPr>
      <w:r>
        <w:rPr>
          <w:b/>
          <w:color w:val="2563EB"/>
        </w:rPr>
        <w:t xml:space="preserve">• </w:t>
      </w:r>
      <w:r>
        <w:rPr>
          <w:sz w:val="17"/>
        </w:rPr>
        <w:t>The Campaign Backer is authenticated and logged into the platform.</w:t>
      </w:r>
    </w:p>
    <w:p>
      <w:pPr>
        <w:spacing w:before="0" w:after="20" w:line="252" w:lineRule="auto"/>
        <w:ind w:left="288"/>
      </w:pPr>
      <w:r>
        <w:rPr>
          <w:b/>
          <w:color w:val="2563EB"/>
        </w:rPr>
        <w:t xml:space="preserve">• </w:t>
      </w:r>
      <w:r>
        <w:rPr>
          <w:sz w:val="17"/>
        </w:rPr>
        <w:t>The target student startup campaign is active, verified, and within its open funding window.</w:t>
      </w:r>
    </w:p>
    <w:p>
      <w:pPr>
        <w:spacing w:before="0" w:after="20" w:line="252" w:lineRule="auto"/>
        <w:ind w:left="288"/>
      </w:pPr>
      <w:r>
        <w:rPr>
          <w:b/>
          <w:color w:val="2563EB"/>
        </w:rPr>
        <w:t xml:space="preserve">• </w:t>
      </w:r>
      <w:r>
        <w:rPr>
          <w:sz w:val="17"/>
        </w:rPr>
        <w:t>The external Payment Gateway service is online, operational, and responsive.</w:t>
      </w:r>
    </w:p>
    <w:p>
      <w:pPr>
        <w:spacing w:before="100" w:after="40"/>
      </w:pPr>
      <w:r>
        <w:rPr>
          <w:b/>
          <w:color w:val="1E3A8A"/>
          <w:sz w:val="19"/>
        </w:rPr>
        <w:t>2. Postconditions</w:t>
      </w:r>
    </w:p>
    <w:p>
      <w:pPr>
        <w:spacing w:before="0" w:after="20" w:line="252" w:lineRule="auto"/>
        <w:ind w:left="288"/>
      </w:pPr>
      <w:r>
        <w:rPr>
          <w:b/>
          <w:color w:val="16A34A"/>
        </w:rPr>
        <w:t xml:space="preserve">• </w:t>
      </w:r>
      <w:r>
        <w:rPr>
          <w:sz w:val="17"/>
        </w:rPr>
        <w:t>A verified pledge transaction record is stored in the system database linked to the backer and campaign.</w:t>
      </w:r>
    </w:p>
    <w:p>
      <w:pPr>
        <w:spacing w:before="0" w:after="20" w:line="252" w:lineRule="auto"/>
        <w:ind w:left="288"/>
      </w:pPr>
      <w:r>
        <w:rPr>
          <w:b/>
          <w:color w:val="16A34A"/>
        </w:rPr>
        <w:t xml:space="preserve">• </w:t>
      </w:r>
      <w:r>
        <w:rPr>
          <w:sz w:val="17"/>
        </w:rPr>
        <w:t>The campaign's total funds raised and backer counter are updated in real time.</w:t>
      </w:r>
    </w:p>
    <w:p>
      <w:pPr>
        <w:spacing w:before="0" w:after="20" w:line="252" w:lineRule="auto"/>
        <w:ind w:left="288"/>
      </w:pPr>
      <w:r>
        <w:rPr>
          <w:b/>
          <w:color w:val="16A34A"/>
        </w:rPr>
        <w:t xml:space="preserve">• </w:t>
      </w:r>
      <w:r>
        <w:rPr>
          <w:sz w:val="17"/>
        </w:rPr>
        <w:t>A tokenized payment receipt and confirmation are issued and sent to the backer.</w:t>
      </w:r>
    </w:p>
    <w:p>
      <w:pPr>
        <w:spacing w:before="0" w:after="20" w:line="252" w:lineRule="auto"/>
        <w:ind w:left="288"/>
      </w:pPr>
      <w:r>
        <w:rPr>
          <w:b/>
          <w:color w:val="16A34A"/>
        </w:rPr>
        <w:t xml:space="preserve">• </w:t>
      </w:r>
      <w:r>
        <w:rPr>
          <w:sz w:val="17"/>
        </w:rPr>
        <w:t>If a reward tier was chosen, the tier's remaining available quantity is decremented.</w:t>
      </w:r>
    </w:p>
    <w:p>
      <w:pPr>
        <w:spacing w:before="100" w:after="40"/>
      </w:pPr>
      <w:r>
        <w:rPr>
          <w:b/>
          <w:color w:val="1E3A8A"/>
          <w:sz w:val="19"/>
        </w:rPr>
        <w:t>3. Main Success Scenario (Step-by-Step)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1.</w:t>
      </w:r>
      <w:r>
        <w:rPr>
          <w:color w:val="334155"/>
          <w:sz w:val="17"/>
        </w:rPr>
        <w:t xml:space="preserve"> Campaign Backer navigates to an active student startup campaign page.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2.</w:t>
      </w:r>
      <w:r>
        <w:rPr>
          <w:color w:val="334155"/>
          <w:sz w:val="17"/>
        </w:rPr>
        <w:t xml:space="preserve"> System displays the campaign pitch, milestone breakdown, funding progress, and available reward tiers.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3.</w:t>
      </w:r>
      <w:r>
        <w:rPr>
          <w:color w:val="334155"/>
          <w:sz w:val="17"/>
        </w:rPr>
        <w:t xml:space="preserve"> Backer clicks 'Back This Project' and optionally selects an eligible reward tier or custom pledge amount.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4.</w:t>
      </w:r>
      <w:r>
        <w:rPr>
          <w:color w:val="334155"/>
          <w:sz w:val="17"/>
        </w:rPr>
        <w:t xml:space="preserve"> Backer enters or confirms the monetary pledge amount and provides required shipping/contact information.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5.</w:t>
      </w:r>
      <w:r>
        <w:rPr>
          <w:color w:val="334155"/>
          <w:sz w:val="17"/>
        </w:rPr>
        <w:t xml:space="preserve"> System validates the pledge amount against tier minimums and campaign constraints.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6.</w:t>
      </w:r>
      <w:r>
        <w:rPr>
          <w:color w:val="334155"/>
          <w:sz w:val="17"/>
        </w:rPr>
        <w:t xml:space="preserve"> Backer selects a payment method (Card / UPI / NetBanking) and initiates the transaction.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7.</w:t>
      </w:r>
      <w:r>
        <w:rPr>
          <w:color w:val="334155"/>
          <w:sz w:val="17"/>
        </w:rPr>
        <w:t xml:space="preserve"> System tokenizes payment details and invokes Payment Gateway for authorization («include» Process Payment).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8.</w:t>
      </w:r>
      <w:r>
        <w:rPr>
          <w:color w:val="334155"/>
          <w:sz w:val="17"/>
        </w:rPr>
        <w:t xml:space="preserve"> Payment Gateway validates payment credentials, processes the charge, and returns an authorization token.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9.</w:t>
      </w:r>
      <w:r>
        <w:rPr>
          <w:color w:val="334155"/>
          <w:sz w:val="17"/>
        </w:rPr>
        <w:t xml:space="preserve"> System commits the pledge record, updates the campaign's total funding pool, and decrements reward quota.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10.</w:t>
      </w:r>
      <w:r>
        <w:rPr>
          <w:color w:val="334155"/>
          <w:sz w:val="17"/>
        </w:rPr>
        <w:t xml:space="preserve"> System displays an on-screen success receipt and dispatches a confirmation email to the backer.</w:t>
      </w:r>
    </w:p>
    <w:p>
      <w:pPr>
        <w:spacing w:before="0" w:after="30" w:line="252" w:lineRule="auto"/>
        <w:ind w:left="360"/>
      </w:pPr>
      <w:r>
        <w:rPr>
          <w:b/>
          <w:color w:val="0F172A"/>
          <w:sz w:val="17"/>
        </w:rPr>
        <w:t>11.</w:t>
      </w:r>
      <w:r>
        <w:rPr>
          <w:color w:val="334155"/>
          <w:sz w:val="17"/>
        </w:rPr>
        <w:t xml:space="preserve"> Use case terminates successfully.</w:t>
      </w:r>
    </w:p>
    <w:p>
      <w:pPr>
        <w:spacing w:before="100" w:after="40"/>
      </w:pPr>
      <w:r>
        <w:rPr>
          <w:b/>
          <w:color w:val="1E3A8A"/>
          <w:sz w:val="19"/>
        </w:rPr>
        <w:t>4. Alternate Flows</w:t>
      </w:r>
    </w:p>
    <w:p>
      <w:pPr>
        <w:spacing w:before="20" w:after="20"/>
      </w:pPr>
      <w:r>
        <w:rPr>
          <w:b/>
          <w:color w:val="B91C1C"/>
          <w:sz w:val="17"/>
        </w:rPr>
        <w:t>7a. Payment Authorization Declined / Transaction Failed:</w:t>
      </w:r>
    </w:p>
    <w:p>
      <w:pPr>
        <w:spacing w:before="0" w:after="20" w:line="252" w:lineRule="auto"/>
        <w:ind w:left="504"/>
      </w:pPr>
      <w:r>
        <w:rPr>
          <w:b/>
          <w:color w:val="991B1B"/>
          <w:sz w:val="16"/>
        </w:rPr>
        <w:t>7a1.</w:t>
      </w:r>
      <w:r>
        <w:rPr>
          <w:color w:val="334155"/>
          <w:sz w:val="16"/>
        </w:rPr>
        <w:t xml:space="preserve"> Payment Gateway returns a transaction failure response (e.g., insufficient funds, timeout, or invalid card).</w:t>
      </w:r>
    </w:p>
    <w:p>
      <w:pPr>
        <w:spacing w:before="0" w:after="20" w:line="252" w:lineRule="auto"/>
        <w:ind w:left="504"/>
      </w:pPr>
      <w:r>
        <w:rPr>
          <w:b/>
          <w:color w:val="991B1B"/>
          <w:sz w:val="16"/>
        </w:rPr>
        <w:t>7a2.</w:t>
      </w:r>
      <w:r>
        <w:rPr>
          <w:color w:val="334155"/>
          <w:sz w:val="16"/>
        </w:rPr>
        <w:t xml:space="preserve"> System displays a clear error alert indicating the reason for the failure and prompts the backer to retry.</w:t>
      </w:r>
    </w:p>
    <w:p>
      <w:pPr>
        <w:spacing w:before="0" w:after="20" w:line="252" w:lineRule="auto"/>
        <w:ind w:left="504"/>
      </w:pPr>
      <w:r>
        <w:rPr>
          <w:b/>
          <w:color w:val="991B1B"/>
          <w:sz w:val="16"/>
        </w:rPr>
        <w:t>7a3.</w:t>
      </w:r>
      <w:r>
        <w:rPr>
          <w:color w:val="334155"/>
          <w:sz w:val="16"/>
        </w:rPr>
        <w:t xml:space="preserve"> Backer selects an alternative payment method or updates payment details within the active checkout session.</w:t>
      </w:r>
    </w:p>
    <w:p>
      <w:pPr>
        <w:spacing w:before="0" w:after="20" w:line="252" w:lineRule="auto"/>
        <w:ind w:left="504"/>
      </w:pPr>
      <w:r>
        <w:rPr>
          <w:b/>
          <w:color w:val="991B1B"/>
          <w:sz w:val="16"/>
        </w:rPr>
        <w:t>7a4.</w:t>
      </w:r>
      <w:r>
        <w:rPr>
          <w:color w:val="334155"/>
          <w:sz w:val="16"/>
        </w:rPr>
        <w:t xml:space="preserve"> If the re-attempt succeeds, the system receives payment authorization and resumes from Step 8.</w:t>
      </w:r>
    </w:p>
    <w:p>
      <w:pPr>
        <w:spacing w:before="0" w:after="20" w:line="252" w:lineRule="auto"/>
        <w:ind w:left="504"/>
      </w:pPr>
      <w:r>
        <w:rPr>
          <w:b/>
          <w:color w:val="991B1B"/>
          <w:sz w:val="16"/>
        </w:rPr>
        <w:t>7a5.</w:t>
      </w:r>
      <w:r>
        <w:rPr>
          <w:color w:val="334155"/>
          <w:sz w:val="16"/>
        </w:rPr>
        <w:t xml:space="preserve"> If the backer aborts or payment fails after 3 attempts, the system cancels the pending pledge and returns to Step 2.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