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5A543533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Architect and develper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6349B5A4" w14:textId="46E02764" w:rsidR="002D23A1" w:rsidRPr="00CC687A" w:rsidRDefault="002D23A1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B61452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1FFF7C28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SOLUTIONS ARCHITECHT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CUIRRENT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F7208B7" w14:textId="77777777" w:rsidR="00B24901" w:rsidRDefault="002C5292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Building and integrating information systems to meet the Bank's needs.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Assessing the systems architecture currently in place and working with technical staff to recommend solutions to improve it.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Working at the Grassroots level - be that as it may - i am </w:t>
                  </w:r>
                  <w:proofErr w:type="gramStart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Coder ,</w:t>
                  </w:r>
                  <w:proofErr w:type="gramEnd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for all that it means.</w:t>
                  </w:r>
                  <w:r w:rsidR="00B24901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  <w:p w14:paraId="0FDA8DFD" w14:textId="5F6EB50F" w:rsidR="008C12B7" w:rsidRPr="00B0489C" w:rsidRDefault="008C12B7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4C50F12" w14:textId="77777777" w:rsidR="00CC0A97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3524E9CD" w:rsidR="008C12B7" w:rsidRPr="00B0489C" w:rsidRDefault="008C12B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F4E060D" w14:textId="642A1FC8" w:rsidR="00853AAB" w:rsidRPr="005A1043" w:rsidRDefault="00853AAB" w:rsidP="002C5292"/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B61452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7F3E4D1C" w:rsidR="00BE2367" w:rsidRDefault="002C5292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FRANKFURT, GERMANY</w:t>
            </w:r>
          </w:p>
          <w:p w14:paraId="3F1488F5" w14:textId="7AE44C34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CB5A3C">
              <w:rPr>
                <w:rFonts w:ascii="Calibri" w:hAnsi="Calibri" w:cs="Calibri"/>
                <w:sz w:val="20"/>
              </w:rPr>
              <w:t>1521-0977940</w:t>
            </w:r>
          </w:p>
          <w:p w14:paraId="388FCB83" w14:textId="77777777" w:rsidR="00E8383A" w:rsidRDefault="00E8383A" w:rsidP="00B16B90"/>
          <w:p w14:paraId="11D6FEEA" w14:textId="4926704E" w:rsidR="00BE2367" w:rsidRDefault="00B61452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B61452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1E904848" w14:textId="77777777" w:rsidR="00A76AB7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Micro Services Architecture with Kafka 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16217D5F" w:rsidR="0004272F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51A7A0F5" w14:textId="77777777" w:rsidR="00A76AB7" w:rsidRPr="009A60C0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bookmarkStart w:id="0" w:name="_GoBack"/>
            <w:bookmarkEnd w:id="0"/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8C12B7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7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0300E" w14:textId="77777777" w:rsidR="00B61452" w:rsidRDefault="00B61452" w:rsidP="00AD1675">
      <w:pPr>
        <w:spacing w:after="0" w:line="240" w:lineRule="auto"/>
      </w:pPr>
      <w:r>
        <w:separator/>
      </w:r>
    </w:p>
  </w:endnote>
  <w:endnote w:type="continuationSeparator" w:id="0">
    <w:p w14:paraId="4BB911E9" w14:textId="77777777" w:rsidR="00B61452" w:rsidRDefault="00B61452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CEA64" w14:textId="77777777" w:rsidR="00B61452" w:rsidRDefault="00B61452" w:rsidP="00AD1675">
      <w:pPr>
        <w:spacing w:after="0" w:line="240" w:lineRule="auto"/>
      </w:pPr>
      <w:r>
        <w:separator/>
      </w:r>
    </w:p>
  </w:footnote>
  <w:footnote w:type="continuationSeparator" w:id="0">
    <w:p w14:paraId="09E74D67" w14:textId="77777777" w:rsidR="00B61452" w:rsidRDefault="00B61452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C2267" w14:textId="521209C9" w:rsidR="00A76AB7" w:rsidRPr="005A1043" w:rsidRDefault="00A76AB7" w:rsidP="00A76AB7">
    <w:pPr>
      <w:pStyle w:val="Header"/>
      <w:rPr>
        <w:rFonts w:ascii="Verdana" w:hAnsi="Verdana"/>
        <w:i/>
        <w:sz w:val="18"/>
        <w:szCs w:val="18"/>
      </w:rPr>
    </w:pPr>
    <w:r>
      <w:rPr>
        <w:rFonts w:ascii="Verdana" w:hAnsi="Verdana"/>
        <w:i/>
        <w:sz w:val="18"/>
        <w:szCs w:val="18"/>
      </w:rPr>
      <w:t>Snap-Shot-Akash-Mittal-Technical-Architect-10Years-JAVA-Banking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D3155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B3AFA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5292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D522D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12B7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76AB7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52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A3C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7167360"/>
        <c:axId val="87168896"/>
      </c:barChart>
      <c:catAx>
        <c:axId val="87167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7168896"/>
        <c:crosses val="autoZero"/>
        <c:auto val="1"/>
        <c:lblAlgn val="ctr"/>
        <c:lblOffset val="100"/>
        <c:noMultiLvlLbl val="0"/>
      </c:catAx>
      <c:valAx>
        <c:axId val="87168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716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241472"/>
        <c:axId val="109243008"/>
      </c:barChart>
      <c:catAx>
        <c:axId val="1092414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243008"/>
        <c:crosses val="autoZero"/>
        <c:auto val="1"/>
        <c:lblAlgn val="ctr"/>
        <c:lblOffset val="100"/>
        <c:noMultiLvlLbl val="0"/>
      </c:catAx>
      <c:valAx>
        <c:axId val="1092430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24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804928"/>
        <c:axId val="109892736"/>
      </c:barChart>
      <c:catAx>
        <c:axId val="109804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892736"/>
        <c:crosses val="autoZero"/>
        <c:auto val="1"/>
        <c:lblAlgn val="ctr"/>
        <c:lblOffset val="100"/>
        <c:noMultiLvlLbl val="0"/>
      </c:catAx>
      <c:valAx>
        <c:axId val="10989273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80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909888"/>
        <c:axId val="109911424"/>
      </c:barChart>
      <c:catAx>
        <c:axId val="1099098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911424"/>
        <c:crosses val="autoZero"/>
        <c:auto val="1"/>
        <c:lblAlgn val="ctr"/>
        <c:lblOffset val="100"/>
        <c:noMultiLvlLbl val="0"/>
      </c:catAx>
      <c:valAx>
        <c:axId val="1099114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90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818240"/>
        <c:axId val="109819776"/>
      </c:barChart>
      <c:catAx>
        <c:axId val="109818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819776"/>
        <c:crosses val="autoZero"/>
        <c:auto val="1"/>
        <c:lblAlgn val="ctr"/>
        <c:lblOffset val="100"/>
        <c:noMultiLvlLbl val="0"/>
      </c:catAx>
      <c:valAx>
        <c:axId val="1098197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81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853312"/>
        <c:axId val="111776128"/>
      </c:barChart>
      <c:catAx>
        <c:axId val="109853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1776128"/>
        <c:crosses val="autoZero"/>
        <c:auto val="1"/>
        <c:lblAlgn val="ctr"/>
        <c:lblOffset val="100"/>
        <c:noMultiLvlLbl val="0"/>
      </c:catAx>
      <c:valAx>
        <c:axId val="111776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85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1826048"/>
        <c:axId val="111827584"/>
      </c:barChart>
      <c:catAx>
        <c:axId val="111826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1827584"/>
        <c:crosses val="autoZero"/>
        <c:auto val="1"/>
        <c:lblAlgn val="ctr"/>
        <c:lblOffset val="100"/>
        <c:noMultiLvlLbl val="0"/>
      </c:catAx>
      <c:valAx>
        <c:axId val="1118275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18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1857024"/>
        <c:axId val="113333376"/>
      </c:barChart>
      <c:catAx>
        <c:axId val="1118570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3333376"/>
        <c:crosses val="autoZero"/>
        <c:auto val="1"/>
        <c:lblAlgn val="ctr"/>
        <c:lblOffset val="100"/>
        <c:noMultiLvlLbl val="0"/>
      </c:catAx>
      <c:valAx>
        <c:axId val="1133333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185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434560"/>
        <c:axId val="88436096"/>
      </c:barChart>
      <c:catAx>
        <c:axId val="884345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436096"/>
        <c:crosses val="autoZero"/>
        <c:auto val="1"/>
        <c:lblAlgn val="ctr"/>
        <c:lblOffset val="100"/>
        <c:noMultiLvlLbl val="0"/>
      </c:catAx>
      <c:valAx>
        <c:axId val="884360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43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658304"/>
        <c:axId val="88659840"/>
      </c:barChart>
      <c:catAx>
        <c:axId val="886583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59840"/>
        <c:crosses val="autoZero"/>
        <c:auto val="1"/>
        <c:lblAlgn val="ctr"/>
        <c:lblOffset val="100"/>
        <c:noMultiLvlLbl val="0"/>
      </c:catAx>
      <c:valAx>
        <c:axId val="886598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65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672896"/>
        <c:axId val="88686976"/>
      </c:barChart>
      <c:catAx>
        <c:axId val="88672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86976"/>
        <c:crosses val="autoZero"/>
        <c:auto val="1"/>
        <c:lblAlgn val="ctr"/>
        <c:lblOffset val="100"/>
        <c:noMultiLvlLbl val="0"/>
      </c:catAx>
      <c:valAx>
        <c:axId val="886869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67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9262848"/>
        <c:axId val="79264384"/>
      </c:barChart>
      <c:catAx>
        <c:axId val="79262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9264384"/>
        <c:crosses val="autoZero"/>
        <c:auto val="1"/>
        <c:lblAlgn val="ctr"/>
        <c:lblOffset val="100"/>
        <c:noMultiLvlLbl val="0"/>
      </c:catAx>
      <c:valAx>
        <c:axId val="792643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7926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8608128"/>
        <c:axId val="88630400"/>
      </c:barChart>
      <c:catAx>
        <c:axId val="886081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8630400"/>
        <c:crosses val="autoZero"/>
        <c:auto val="1"/>
        <c:lblAlgn val="ctr"/>
        <c:lblOffset val="100"/>
        <c:noMultiLvlLbl val="0"/>
      </c:catAx>
      <c:valAx>
        <c:axId val="886304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860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7915136"/>
        <c:axId val="107916672"/>
      </c:barChart>
      <c:catAx>
        <c:axId val="107915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7916672"/>
        <c:crosses val="autoZero"/>
        <c:auto val="1"/>
        <c:lblAlgn val="ctr"/>
        <c:lblOffset val="100"/>
        <c:noMultiLvlLbl val="0"/>
      </c:catAx>
      <c:valAx>
        <c:axId val="1079166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791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150592"/>
        <c:axId val="109152128"/>
      </c:barChart>
      <c:catAx>
        <c:axId val="1091505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152128"/>
        <c:crosses val="autoZero"/>
        <c:auto val="1"/>
        <c:lblAlgn val="ctr"/>
        <c:lblOffset val="100"/>
        <c:noMultiLvlLbl val="0"/>
      </c:catAx>
      <c:valAx>
        <c:axId val="109152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15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9181568"/>
        <c:axId val="109207936"/>
      </c:barChart>
      <c:catAx>
        <c:axId val="1091815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207936"/>
        <c:crosses val="autoZero"/>
        <c:auto val="1"/>
        <c:lblAlgn val="ctr"/>
        <c:lblOffset val="100"/>
        <c:noMultiLvlLbl val="0"/>
      </c:catAx>
      <c:valAx>
        <c:axId val="10920793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918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867FB"/>
    <w:rsid w:val="00F0596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5A3CC-3D53-4388-8B18-346E417F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8</cp:revision>
  <cp:lastPrinted>2020-03-24T10:44:00Z</cp:lastPrinted>
  <dcterms:created xsi:type="dcterms:W3CDTF">2020-03-24T10:33:00Z</dcterms:created>
  <dcterms:modified xsi:type="dcterms:W3CDTF">2020-03-24T10:45:00Z</dcterms:modified>
</cp:coreProperties>
</file>