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48b34a2e</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3.4 (Page 79)</w:t>
            </w:r>
          </w:p>
          <w:p>
            <w:r>
              <w:rPr>
                <w:sz w:val="16"/>
              </w:rPr>
              <w:t>Limitation of the Consultant's Liability towards the Employer: (a) There must be no such limitation in case of the consultant's gross negligence or wilful misconduct; (b) The consultant's liability to the employer  (for any direct and indirect losses) may, in no case, be more than a multiplier (3 times) of the total value of the contract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'(3 times) of the total value of the contract'</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w:t>
            </w:r>
          </w:p>
          <w:p>
            <w:r>
              <w:rPr>
                <w:sz w:val="16"/>
              </w:rPr>
              <w:t>The Consultant (i) shall take out and maintain, and shall cause any Subconsultants to take out and maintain insurance, at their (or the Subconsultants’, as the case may be) own cost, insurance against the risks, and for the coverage specified in the SC, and (ii) at the “Employer's request, shall provide evidence to the “Employer” showing that such insurance has been taken out and maintained and that the current premiums therefore have been paid.</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2.   Scope of work | Ref: 2.   Scope of work (Page 44)</w:t>
            </w:r>
          </w:p>
          <w:p>
            <w:r>
              <w:rPr>
                <w:sz w:val="16"/>
              </w:rPr>
              <w:t>The scope of work includes key activity areas that will be customized to support the department.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6.3 (b)</w:t>
            </w:r>
          </w:p>
          <w:p>
            <w:r>
              <w:rPr>
                <w:sz w:val="16"/>
              </w:rPr>
              <w:t>The Consultant shall be paid for its services as per the Payment Schedule at Appendices-D of this Agreement, subject to the Consultant fulfilling the following conditions:</w:t>
              <w:br/>
              <w:t>(i) No payment shall be due for the next stage till the Consultant completes, to the satisfaction of the Employer, the work pertaining to the preceding stage.</w:t>
              <w:br/>
              <w:t>(ii) The Employer shall pay to the Consultant, only the undisputed amount.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Invoice cycle and approval timeline are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FORM TECH-9 - WORK SCHEDULE (Page 35)</w:t>
            </w:r>
          </w:p>
          <w:p>
            <w:r>
              <w:rPr>
                <w:sz w:val="16"/>
              </w:rPr>
              <w:t>Indicate all main activities of the Assignment/job, including delivery of reports (e.g.: inception, interim, draft and final reports), and other benchmarks such as Employer approvals. For phased Assignment/jobs indicate activities, delivery of reports, and benchmarks separately for each phase.</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'NoneType' object has no attribute 'lower'</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Page 17 | Page  17  of  82 | Ref: Page  17  of  82 (Page 17)</w:t>
            </w:r>
          </w:p>
          <w:p>
            <w:r>
              <w:rPr>
                <w:sz w:val="16"/>
              </w:rPr>
              <w:t>consider substitution of Key Personnel during the initial period of 12 months except for reasons of any incapacity or due to health or employee leaving the organization. Such substitution shall be subject to equally or better qualified and experienced personnel being provided to the satisfaction of the Employer. As a condition to such substitution, a sum equal to 5% (five per cent) of the remuneration specified for the original Key Personnel shall be deducted from the payments due to the Consultant.</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9.1</w:t>
            </w:r>
          </w:p>
          <w:p>
            <w:r>
              <w:rPr>
                <w:sz w:val="16"/>
              </w:rPr>
              <w:t>In case any error or variation is detected in the reports submitted by the Consultant and such error or variation is the result of negligence or lack of due diligence on the part of the Consultant, the consequential damages thereof shall be quantified by the Employer in a reasonable manner and recovered from the Consultant by way of deemed liquidated damages, subject to a maximum of 10% (ten per cent) of the Contract Value.</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2.7.2 (Page 63)</w:t>
            </w:r>
          </w:p>
          <w:p>
            <w:r>
              <w:rPr>
                <w:sz w:val="16"/>
              </w:rPr>
              <w:t>The failure of a Party to fulfill any of its obligations hereunder shall not be considered to be a breach of, or default under, this Contract insofar as such inability arises from an event of Force Majeure, provided that the Party affected by such an event has taken all reasonable precautions, due care and reasonable alternative measures, all with the objective of carrying out the terms and conditions of this Contract.</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2.9.7 (Page 66)</w:t>
            </w:r>
          </w:p>
          <w:p>
            <w:r>
              <w:rPr>
                <w:sz w:val="16"/>
              </w:rPr>
              <w:t>If either Party disputes whether an event specified in paragraphs (a) through (g) of Clause GC 2.9.1 or in Clause GC 2.9.2 hereof has occurred, such Party may, within forty-five (45) days after receipt of notice of termination from the other Party, refer the matter to Clause GC 8 hereof, and this Contract shall not be terminated on account of such event except in accordance with the terms of any resulting arbitral award.</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Termination rights appear to be unilateral (only client can terminate). GTBL has no termination right.</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Consultant/Agency/Selected Bidder has termination rights in cases of non-payment by the Client within the prescribed time period or if the Client fails to cure a material breach within 21 days of notice of such breach. Exception approval to be sought before bid submission from the concerned BUL.</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BLACKLISTING</w:t>
            </w:r>
          </w:p>
          <w:p>
            <w:r>
              <w:rPr>
                <w:sz w:val="16"/>
              </w:rPr>
              <w:t>We, [Name of Bidder/Company], having our registered office at [Address], hereby declare that, our firm/company/entity is not blacklisted, debarred, suspended, or banned presently by Central Government, any State Government, Union Territory or any Department of State Government, Public Sector Undertaking, or any regulatory authority in India as on date of submission of this bid.</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br/>
              <w:t>Suggested Deviation Language:</w:t>
              <w:br/>
              <w:t>Suggested modification: Replace 'has not been' / 'have not been' with 'is not' to make the declaration as on the date of submission. Minimum changes only.</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