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8560d8ab</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Clause 3.4.4 (Page 102)</w:t>
            </w:r>
          </w:p>
          <w:p>
            <w:r>
              <w:rPr>
                <w:sz w:val="16"/>
              </w:rPr>
              <w:t>This limitation of liability specified in Clause 3.4.3 shall not affect the PMC’s liability, if any, for damage to Third Parties caused by the PMC or any person or firm acting on behalf of the PMC in carrying out the Services subject, however, to a limit equal to the Agreement Value.</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'Agreement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3.5.2 (Page 103)</w:t>
            </w:r>
          </w:p>
          <w:p>
            <w:r>
              <w:rPr>
                <w:sz w:val="16"/>
              </w:rPr>
              <w:t>The Parties agree that the risks and coverages shall include but not be limited to the following:</w:t>
              <w:br/>
              <w:t>(a) Third Party liability insurance as required under Applicable Laws, with a minimum coverage of Rs. 2 (two) crore;</w:t>
              <w:br/>
              <w:t>(b) employer’s liability and workers’ compensation insurance in respect of the Personnel of the PMC and of any Sub-Consultant, in accordance with Applicable Laws; and</w:t>
              <w:br/>
              <w:t>(c) professional liability insurance for an amount no less than the Agreement Value.</w:t>
              <w:br/>
              <w:t>The indemnity limit in terms of “Any One Accident” (AOA) and “Aggregate limit on the policy period” (AOP) should not be less than the amount stated in Clause 6.1.2 of the Agreement. In case of consortium, the policy should be in the name of Lead Member and not in the name of individual Members of the consortium.</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3.1.2 | Ref: 4.1.2</w:t>
            </w:r>
          </w:p>
          <w:p>
            <w:r>
              <w:rPr>
                <w:sz w:val="16"/>
              </w:rPr>
              <w:t>The scope of services and deliverables for the PMC are specified in the Terms of Reference and described in Paragraphs 4.2 to 4.5.</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6.1</w:t>
            </w:r>
          </w:p>
          <w:p>
            <w:r>
              <w:rPr>
                <w:sz w:val="16"/>
              </w:rPr>
              <w:t>The PMC shall be paid for its services as per the Payment Schedule at Annex-6 of this Agreement, subject to the PMC fulfilling the following conditions:</w:t>
              <w:br/>
              <w:t>(i) No payment shall be due for the next stage till the PMC completes, to the satisfaction of the Authority, the work pertaining to the preceding stage as set out in the Quarterly Work Plan submitted by the PMC to the Authority.</w:t>
              <w:br/>
              <w:t>(ii) The Authority shall pay to the PMC, only the undisputed amount.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Invoice cycle and approval timeline are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4.1.2</w:t>
            </w:r>
          </w:p>
          <w:p>
            <w:r>
              <w:rPr>
                <w:sz w:val="16"/>
              </w:rPr>
              <w:t>Completion of all Services as provided under Clause 4 of the Terms of Reference.</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2.26.2 (Page 37)</w:t>
            </w:r>
          </w:p>
          <w:p>
            <w:r>
              <w:rPr>
                <w:sz w:val="16"/>
              </w:rPr>
              <w:t>The Authority expects all the Key Personnel to be available during implementation of the Agreement. The Authority will not consider substitution of Key Personnel except for reasons of any incapacity or due to health. Such substitution shall ordinarily be limited to one Key Personnel subject to equally or better qualified and experienced personnel being provided to the satisfaction of the Authority. As a condition to such substitution, a sum equal to 15% (fifteen per cent) of the remuneration specified for the original Key Personnel shall be deducted from the payments due to the PMC. In the case of a second or third substitution hereunder, such deduction shall be 30% (thirty per cent) of the remuneration specified for the original Key Personnel. Any further substitution may lead to disqu...</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br/>
              <w:t>[Exception Approval Required]</w:t>
              <w:br/>
              <w:t>[EQCR Applicable]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7.2.1 (Page 111)</w:t>
            </w:r>
          </w:p>
          <w:p>
            <w:r>
              <w:rPr>
                <w:sz w:val="16"/>
              </w:rPr>
              <w:t>In case any error or variation is detected in the reports submitted by the PMC and such error or variation is the result of negligence or lack of due diligence on the part of the PMC, the consequential damages thereof shall be quantified by the Authority in a reasonable manner and recovered from the PMC by way of deemed liquidated damages, subject to a maximum of 25% (twenty five per cent)   of the Agreement Value.</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LD cap is 25% (≥20%). This is HIGH RISK for GTBL.</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overall LDs are capped at 10% of the contract value. Exception approval to be sought from the BUL prior to bid submission. EQCR shall be applicable and ET to account for it.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2.21.2</w:t>
            </w:r>
          </w:p>
          <w:p>
            <w:r>
              <w:rPr>
                <w:sz w:val="16"/>
              </w:rPr>
              <w:t>An amount equal to 3% (three per cent) of the Agreement Value shall be deemed to be the Performance Security for the purposes of this Clause 2.21, which may be forfeited and appropriated in accordance with the provisions hereof.</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3%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2.9.6 (Page 96)</w:t>
            </w:r>
          </w:p>
          <w:p>
            <w:r>
              <w:rPr>
                <w:sz w:val="16"/>
              </w:rPr>
              <w:t>If either Party disputes whether an event specified in Clause 2.9.1 or in Clause 2.9.2 hereof has occurred, such Party may, within 30 (thirty) days after receipt of notice of termination from the other Party, refer the matter to arbitration pursuant to Clause 9 hereof, and this Agreement shall not be terminated on account of such event except in accordance with the terms of any resulting arbitral award.</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Termination rights appear to be unilateral (only client can terminate). GTBL has no termination right.</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that the Consultant/Agency/Selected Bidder has termination rights in cases of non-payment by the Client within the prescribed time period or if the Client fails to cure a material breach within 21 days of notice of such breach. Exception approval to be sought before bid submission from the concerned BUL.</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2.2.3</w:t>
            </w:r>
          </w:p>
          <w:p>
            <w:r>
              <w:rPr>
                <w:sz w:val="16"/>
              </w:rPr>
              <w:t>Proposals of only those Applicants who satisfy the Conditions of Eligibility will be considered for evaluation.</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