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8A40D9" w:rsidRPr="008A40D9" w:rsidP="008A40D9" w14:paraId="13CCA720" w14:textId="77777777">
      <w:pPr>
        <w:spacing w:before="0"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t xml:space="preserve">2.11 Analysis of Smart City Sustainability Based on Big Data Integrated Edge Computing </w:t>
      </w:r>
      <w:r w:rsidRPr="008A40D9">
        <w:rPr>
          <w:rFonts w:eastAsiaTheme="majorEastAsia" w:cstheme="majorBidi"/>
          <w:b/>
          <w:bCs/>
          <w:sz w:val="28"/>
          <w:szCs w:val="28"/>
          <w:lang w:val="en-IN"/>
        </w:rPr>
        <w:t>Modeling</w:t>
      </w:r>
      <w:r w:rsidRPr="008A40D9">
        <w:rPr>
          <w:rFonts w:eastAsiaTheme="majorEastAsia" w:cstheme="majorBidi"/>
          <w:b/>
          <w:bCs/>
          <w:sz w:val="28"/>
          <w:szCs w:val="28"/>
          <w:lang w:val="en-IN"/>
        </w:rPr>
        <w:t xml:space="preserve"> with Neural Network</w:t>
      </w:r>
    </w:p>
    <w:p w:rsidR="008A40D9" w:rsidRPr="008A40D9" w:rsidP="008A40D9" w14:paraId="459BF4FB" w14:textId="7B4A10DA">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AUTHORS:</w:t>
      </w:r>
      <w:r w:rsidRPr="008A40D9">
        <w:rPr>
          <w:rFonts w:eastAsiaTheme="majorEastAsia" w:cstheme="majorBidi"/>
          <w:szCs w:val="24"/>
          <w:lang w:val="en-IN"/>
        </w:rPr>
        <w:t xml:space="preserve"> Sarah Ali Abdulkareem, Zahraa N. </w:t>
      </w:r>
      <w:r w:rsidRPr="008A40D9">
        <w:rPr>
          <w:rFonts w:eastAsiaTheme="majorEastAsia" w:cstheme="majorBidi"/>
          <w:szCs w:val="24"/>
          <w:lang w:val="en-IN"/>
        </w:rPr>
        <w:t>Abdulhussain</w:t>
      </w:r>
      <w:r w:rsidRPr="008A40D9">
        <w:rPr>
          <w:rFonts w:eastAsiaTheme="majorEastAsia" w:cstheme="majorBidi"/>
          <w:szCs w:val="24"/>
          <w:lang w:val="en-IN"/>
        </w:rPr>
        <w:t>, Ragheed Hussam, Khaled Farhan, Mohammed Al-</w:t>
      </w:r>
      <w:r w:rsidRPr="008A40D9">
        <w:rPr>
          <w:rFonts w:eastAsiaTheme="majorEastAsia" w:cstheme="majorBidi"/>
          <w:szCs w:val="24"/>
          <w:lang w:val="en-IN"/>
        </w:rPr>
        <w:t>Farouni</w:t>
      </w:r>
    </w:p>
    <w:p w:rsidR="008A40D9" w:rsidRPr="008A40D9" w:rsidP="008A40D9" w14:paraId="4E0E6499" w14:textId="796A3A43">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2024</w:t>
      </w:r>
    </w:p>
    <w:p w:rsidR="008A40D9" w:rsidRPr="008A40D9" w:rsidP="008A40D9" w14:paraId="19360FBC" w14:textId="77777777">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 xml:space="preserve">This paper presents a comprehensive framework, BDIECM (Big Data Integrated Edge Computing </w:t>
      </w:r>
      <w:r w:rsidRPr="008A40D9">
        <w:rPr>
          <w:rFonts w:eastAsiaTheme="majorEastAsia" w:cstheme="majorBidi"/>
          <w:szCs w:val="24"/>
          <w:lang w:val="en-IN"/>
        </w:rPr>
        <w:t>Modeling</w:t>
      </w:r>
      <w:r w:rsidRPr="008A40D9">
        <w:rPr>
          <w:rFonts w:eastAsiaTheme="majorEastAsia" w:cstheme="majorBidi"/>
          <w:szCs w:val="24"/>
          <w:lang w:val="en-IN"/>
        </w:rPr>
        <w:t xml:space="preserve">), aimed at enhancing the sustainability and security of smart cities through neural networks and edge computing. The model addresses latency, reliability, and data security challenges posed by the distributed nature of smart city infrastructures. By deploying edge servers and mediator nodes, the system enables real-time data processing and threat mitigation. Simulation results show superior performance across multiple metrics: 95.2% security, 94.1% sustainability, and 91.4% reliability. The model incorporates trust-based mechanisms and adaptive strategies for threat detection, end-user reliability, and data authentication. Through real-world smart city applications like transportation and energy systems, the study demonstrates that the proposed model significantly improves data handling, scalability, and </w:t>
      </w:r>
      <w:r w:rsidRPr="008A40D9">
        <w:rPr>
          <w:rFonts w:eastAsiaTheme="majorEastAsia" w:cstheme="majorBidi"/>
          <w:szCs w:val="24"/>
          <w:lang w:val="en-IN"/>
        </w:rPr>
        <w:t>defense</w:t>
      </w:r>
      <w:r w:rsidRPr="008A40D9">
        <w:rPr>
          <w:rFonts w:eastAsiaTheme="majorEastAsia" w:cstheme="majorBidi"/>
          <w:szCs w:val="24"/>
          <w:lang w:val="en-IN"/>
        </w:rPr>
        <w:t xml:space="preserve"> against cyber threats, positioning BDIECM as a robust architecture for sustainable smart city development.</w:t>
      </w:r>
    </w:p>
    <w:p w:rsidR="008A40D9" w:rsidRPr="008A40D9" w:rsidP="008A40D9" w14:paraId="4A066415" w14:textId="77777777">
      <w:pPr>
        <w:spacing w:after="0" w:line="360" w:lineRule="auto"/>
        <w:ind w:left="-142" w:right="-188"/>
        <w:rPr>
          <w:rFonts w:eastAsiaTheme="majorEastAsia" w:cstheme="majorBidi"/>
          <w:b/>
          <w:bCs/>
          <w:sz w:val="28"/>
          <w:szCs w:val="28"/>
          <w:lang w:val="en-IN"/>
        </w:rPr>
      </w:pPr>
    </w:p>
    <w:p w:rsidR="008A40D9" w:rsidRPr="008A40D9" w:rsidP="008A40D9" w14:paraId="723A49B9" w14:textId="77777777">
      <w:pPr>
        <w:spacing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t>2.12 Design of REST API Client for Conversational Agent using Large Language Model with Open API System</w:t>
      </w:r>
    </w:p>
    <w:p w:rsidR="008A40D9" w:rsidRPr="008A40D9" w:rsidP="008A40D9" w14:paraId="3405E84F" w14:textId="1B45CC73">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AUTHORS:</w:t>
      </w:r>
      <w:r w:rsidRPr="008A40D9">
        <w:rPr>
          <w:rFonts w:eastAsiaTheme="majorEastAsia" w:cstheme="majorBidi"/>
          <w:szCs w:val="24"/>
          <w:lang w:val="en-IN"/>
        </w:rPr>
        <w:t xml:space="preserve"> </w:t>
      </w:r>
      <w:r w:rsidRPr="008A40D9">
        <w:rPr>
          <w:rFonts w:eastAsiaTheme="majorEastAsia" w:cstheme="majorBidi"/>
          <w:szCs w:val="24"/>
          <w:lang w:val="en-IN"/>
        </w:rPr>
        <w:t>SeongGyeol</w:t>
      </w:r>
      <w:r w:rsidRPr="008A40D9">
        <w:rPr>
          <w:rFonts w:eastAsiaTheme="majorEastAsia" w:cstheme="majorBidi"/>
          <w:szCs w:val="24"/>
          <w:lang w:val="en-IN"/>
        </w:rPr>
        <w:t xml:space="preserve"> Park, Haeun Lee, </w:t>
      </w:r>
      <w:r w:rsidRPr="008A40D9">
        <w:rPr>
          <w:rFonts w:eastAsiaTheme="majorEastAsia" w:cstheme="majorBidi"/>
          <w:szCs w:val="24"/>
          <w:lang w:val="en-IN"/>
        </w:rPr>
        <w:t>Ahtae</w:t>
      </w:r>
      <w:r w:rsidRPr="008A40D9">
        <w:rPr>
          <w:rFonts w:eastAsiaTheme="majorEastAsia" w:cstheme="majorBidi"/>
          <w:szCs w:val="24"/>
          <w:lang w:val="en-IN"/>
        </w:rPr>
        <w:t xml:space="preserve"> Kim, </w:t>
      </w:r>
      <w:r w:rsidRPr="008A40D9">
        <w:rPr>
          <w:rFonts w:eastAsiaTheme="majorEastAsia" w:cstheme="majorBidi"/>
          <w:szCs w:val="24"/>
          <w:lang w:val="en-IN"/>
        </w:rPr>
        <w:t>Chayapol</w:t>
      </w:r>
      <w:r w:rsidRPr="008A40D9">
        <w:rPr>
          <w:rFonts w:eastAsiaTheme="majorEastAsia" w:cstheme="majorBidi"/>
          <w:szCs w:val="24"/>
          <w:lang w:val="en-IN"/>
        </w:rPr>
        <w:t xml:space="preserve"> </w:t>
      </w:r>
      <w:r w:rsidRPr="008A40D9">
        <w:rPr>
          <w:rFonts w:eastAsiaTheme="majorEastAsia" w:cstheme="majorBidi"/>
          <w:szCs w:val="24"/>
          <w:lang w:val="en-IN"/>
        </w:rPr>
        <w:t>Kamyod</w:t>
      </w:r>
      <w:r w:rsidRPr="008A40D9">
        <w:rPr>
          <w:rFonts w:eastAsiaTheme="majorEastAsia" w:cstheme="majorBidi"/>
          <w:szCs w:val="24"/>
          <w:lang w:val="en-IN"/>
        </w:rPr>
        <w:t xml:space="preserve">, </w:t>
      </w:r>
      <w:r w:rsidRPr="008A40D9">
        <w:rPr>
          <w:rFonts w:eastAsiaTheme="majorEastAsia" w:cstheme="majorBidi"/>
          <w:szCs w:val="24"/>
          <w:lang w:val="en-IN"/>
        </w:rPr>
        <w:t>Sookyung</w:t>
      </w:r>
      <w:r w:rsidRPr="008A40D9">
        <w:rPr>
          <w:rFonts w:eastAsiaTheme="majorEastAsia" w:cstheme="majorBidi"/>
          <w:szCs w:val="24"/>
          <w:lang w:val="en-IN"/>
        </w:rPr>
        <w:t xml:space="preserve"> Lee, Cheong Ghil Kim</w:t>
      </w:r>
    </w:p>
    <w:p w:rsidR="008A40D9" w:rsidRPr="008A40D9" w:rsidP="008A40D9" w14:paraId="66DA5DB2" w14:textId="5FC105B5">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w:t>
      </w:r>
      <w:r>
        <w:rPr>
          <w:rFonts w:eastAsiaTheme="majorEastAsia" w:cstheme="majorBidi"/>
          <w:szCs w:val="24"/>
          <w:lang w:val="en-IN"/>
        </w:rPr>
        <w:t>4</w:t>
      </w:r>
    </w:p>
    <w:p w:rsidR="008A40D9" w:rsidRPr="008A40D9" w:rsidP="008A40D9" w14:paraId="62496142" w14:textId="77777777">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 xml:space="preserve">This study introduces a REST API-based client system for conversational agents using Large Language Models (LLMs) to deliver personalized healthcare services. The proposed system enables chatbots to generate empathetic health </w:t>
      </w:r>
      <w:r w:rsidRPr="008A40D9">
        <w:rPr>
          <w:rFonts w:eastAsiaTheme="majorEastAsia" w:cstheme="majorBidi"/>
          <w:szCs w:val="24"/>
          <w:lang w:val="en-IN"/>
        </w:rPr>
        <w:t>counseling</w:t>
      </w:r>
      <w:r w:rsidRPr="008A40D9">
        <w:rPr>
          <w:rFonts w:eastAsiaTheme="majorEastAsia" w:cstheme="majorBidi"/>
          <w:szCs w:val="24"/>
          <w:lang w:val="en-IN"/>
        </w:rPr>
        <w:t xml:space="preserve"> messages tailored for individuals managing chronic conditions. The architecture includes interfaces, core modules, and external APIs to facilitate seamless user interactions and health data integration. RESTful APIs enhance cross-platform compatibility, ensuring easy integration with existing systems. The system design supports secure communication, real-time interaction, and external service integration via standard protocols (JSON/XML). Simulation and architectural validation show that the model supports scalable, secure, and interoperable digital health management through Open API systems. This work lays the foundation for future community-based digital health systems powered by AI-driven conversational agents.</w:t>
      </w:r>
    </w:p>
    <w:sectPr>
      <w:headerReference w:type="default" r:id="rId6"/>
      <w:footerReference w:type="default" r:id="rId7"/>
      <w:pgSz w:w="11906" w:h="16838"/>
      <w:pgMar w:top="1440" w:right="1440" w:bottom="1440" w:left="1440" w:header="720" w:footer="720" w:gutter="0"/>
      <w:pgNumType w:start="7"/>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665FA6D3" w14:textId="77777777">
    <w:pPr>
      <w:pStyle w:val="Footer"/>
      <w:tabs>
        <w:tab w:val="left" w:pos="408"/>
        <w:tab w:val="center" w:pos="4513"/>
        <w:tab w:val="right" w:pos="9026"/>
        <w:tab w:val="clear" w:pos="9360"/>
      </w:tabs>
      <w:jc w:val="left"/>
      <w:rPr>
        <w:rFonts w:cs="Times New Roman"/>
        <w:sz w:val="22"/>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50" style="width:471.05pt;height:4.35pt;margin-top:771.8pt;margin-left:-10.2pt;mso-height-relative:page;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sdt>
      <w:sdtPr>
        <w:id w:val="1541212051"/>
        <w:docPartObj>
          <w:docPartGallery w:val="AutoText"/>
        </w:docPartObj>
      </w:sdt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19</w:t>
        </w:r>
        <w:r>
          <w:fldChar w:fldCharType="end"/>
        </w:r>
      </w:sdtContent>
    </w:sdt>
    <w:r>
      <w:tab/>
    </w:r>
    <w:r>
      <w:tab/>
      <w:t xml:space="preserve">   </w:t>
    </w:r>
    <w:r>
      <w:rPr>
        <w:rFonts w:cs="Times New Roman"/>
      </w:rPr>
      <w:t>2024 – 2025</w:t>
    </w:r>
  </w:p>
  <w:p w:rsidR="0070008A" w14:paraId="7E8FE5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4A9EB3A7" w14:textId="77777777">
    <w:pPr>
      <w:pStyle w:val="Header"/>
      <w:rPr>
        <w:rFonts w:cs="Times New Roman"/>
        <w:szCs w:val="24"/>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49" style="width:471.05pt;height:4.35pt;margin-top:53.4pt;margin-left:0;mso-height-relative:page;mso-position-horizontal:center;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