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23C947E0" w14:textId="77777777">
      <w:pPr>
        <w:pStyle w:val="Heading1"/>
        <w:spacing w:before="0"/>
        <w:ind w:left="-142" w:right="-188"/>
      </w:pPr>
      <w:bookmarkStart w:id="0" w:name="_Toc186107987"/>
      <w:r>
        <w:t>CONCLUSION</w:t>
      </w:r>
      <w:bookmarkEnd w:id="0"/>
    </w:p>
    <w:p w:rsidR="00995FE4" w:rsidRPr="000D6AEF" w:rsidP="00995FE4" w14:paraId="64D1E26B" w14:textId="77777777">
      <w:p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IN"/>
        </w:rPr>
      </w:pPr>
      <w:r w:rsidRPr="000D6AEF">
        <w:rPr>
          <w:rFonts w:eastAsia="Times New Roman" w:cs="Times New Roman"/>
          <w:szCs w:val="24"/>
          <w:lang w:eastAsia="en-IN"/>
        </w:rPr>
        <w:t>The Cloud-Based Student Material Management System represents a significant step forward in the way academic materials are managed and accessed within educational institutions. By leveraging cloud technology, artificial intelligence, and advanced search capabilities, the system offers a more efficient, secure, and user-friendly approach compared to traditional file-sharing and manual management methods.</w:t>
      </w:r>
    </w:p>
    <w:p w:rsidR="00995FE4" w:rsidRPr="000D6AEF" w:rsidP="00995FE4" w14:paraId="62E8107D" w14:textId="77777777">
      <w:p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IN"/>
        </w:rPr>
      </w:pPr>
      <w:r w:rsidRPr="000D6AEF">
        <w:rPr>
          <w:rFonts w:eastAsia="Times New Roman" w:cs="Times New Roman"/>
          <w:szCs w:val="24"/>
          <w:lang w:eastAsia="en-IN"/>
        </w:rPr>
        <w:t>This system enhances accessibility by allowing both students and faculty to access educational resources from anywhere, at any time, through a web or mobile interface. The integration of AI-powered search and personalization ensures that users can easily find and interact with the content they need, improving learning efficiency and engagement. Additionally, the role-based access control and secure cloud storage offer enhanced security and data protection, making the system a reliable solution for managing sensitive academic materials.</w:t>
      </w:r>
    </w:p>
    <w:p w:rsidR="00995FE4" w:rsidRPr="000D6AEF" w:rsidP="00995FE4" w14:paraId="7BCD81A5" w14:textId="77777777">
      <w:p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IN"/>
        </w:rPr>
      </w:pPr>
      <w:r w:rsidRPr="000D6AEF">
        <w:rPr>
          <w:rFonts w:eastAsia="Times New Roman" w:cs="Times New Roman"/>
          <w:szCs w:val="24"/>
          <w:lang w:eastAsia="en-IN"/>
        </w:rPr>
        <w:t>Furthermore, the AI-driven chatbot provides real-time support to users, reducing dependency on administrative assistance and ensuring prompt resolution of queries. With real-time notifications, efficient upload and management processes, and seamless integration with existing educational tools, the system fosters better collaboration and communication between students and faculty.</w:t>
      </w:r>
    </w:p>
    <w:p w:rsidR="00995FE4" w:rsidRPr="000D6AEF" w:rsidP="00995FE4" w14:paraId="15F388E9" w14:textId="77777777">
      <w:p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IN"/>
        </w:rPr>
      </w:pPr>
      <w:r w:rsidRPr="000D6AEF">
        <w:rPr>
          <w:rFonts w:eastAsia="Times New Roman" w:cs="Times New Roman"/>
          <w:szCs w:val="24"/>
          <w:lang w:eastAsia="en-IN"/>
        </w:rPr>
        <w:t>Ultimately, the Cloud-Based Student Material Management System empowers educational institutions to modernize their content distribution methods, streamline operations, and provide a more personalized, engaging learning experience. By eliminating inefficiencies and offering smarter features, this system has the potential to significantly improve the academic ecosystem and facilitate better learning outcomes.</w:t>
      </w:r>
    </w:p>
    <w:p w:rsidR="0070008A" w14:paraId="070BD2E7" w14:textId="77777777">
      <w:pPr>
        <w:pStyle w:val="NormalWeb"/>
        <w:spacing w:before="0" w:beforeAutospacing="0" w:line="360" w:lineRule="auto"/>
        <w:ind w:left="-142" w:right="-188"/>
        <w:jc w:val="both"/>
      </w:pPr>
      <w:r>
        <w:t>.</w:t>
      </w:r>
    </w:p>
    <w:p w:rsidR="0070008A" w14:paraId="6BA698B2" w14:textId="77777777">
      <w:pPr>
        <w:ind w:left="-142" w:right="-188"/>
      </w:pPr>
    </w:p>
    <w:p w:rsidR="0070008A" w14:paraId="713CC804" w14:textId="77777777">
      <w:pPr>
        <w:ind w:left="-142" w:right="-188"/>
      </w:pPr>
    </w:p>
    <w:p w:rsidR="0070008A" w14:paraId="43D23C43" w14:textId="77777777">
      <w:pPr>
        <w:ind w:left="-142" w:right="-188"/>
      </w:pPr>
    </w:p>
    <w:p w:rsidR="0070008A" w14:paraId="735EA516" w14:textId="77777777">
      <w:pPr>
        <w:ind w:left="-142" w:right="-188"/>
      </w:pPr>
    </w:p>
    <w:p w:rsidR="0070008A" w:rsidP="004A284E" w14:paraId="4E2A8995" w14:textId="77777777">
      <w:pPr>
        <w:ind w:right="-188"/>
      </w:pPr>
    </w:p>
    <w:sectPr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7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665FA6D3" w14:textId="77777777">
    <w:pPr>
      <w:pStyle w:val="Footer"/>
      <w:tabs>
        <w:tab w:val="left" w:pos="408"/>
        <w:tab w:val="center" w:pos="4513"/>
        <w:tab w:val="right" w:pos="9026"/>
        <w:tab w:val="clear" w:pos="9360"/>
      </w:tabs>
      <w:jc w:val="left"/>
      <w:rPr>
        <w:rFonts w:cs="Times New Roman"/>
        <w:sz w:val="22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posOffset>-129540</wp:posOffset>
              </wp:positionH>
              <wp:positionV relativeFrom="page">
                <wp:posOffset>9801860</wp:posOffset>
              </wp:positionV>
              <wp:extent cx="5982335" cy="55245"/>
              <wp:effectExtent l="0" t="0" r="0" b="1905"/>
              <wp:wrapNone/>
              <wp:docPr id="2131355760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50" style="width:471.05pt;height:4.35pt;margin-top:771.8pt;margin-left:-10.2pt;mso-height-relative:page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sdt>
      <w:sdtPr>
        <w:id w:val="379971002"/>
        <w:docPartObj>
          <w:docPartGallery w:val="AutoText"/>
        </w:docPartObj>
      </w:sdtPr>
      <w:sdtContent>
        <w:r>
          <w:rPr>
            <w:rFonts w:cs="Times New Roman"/>
          </w:rPr>
          <w:t xml:space="preserve">Dept. of </w:t>
        </w:r>
        <w:r>
          <w:rPr>
            <w:rFonts w:cs="Times New Roman"/>
          </w:rPr>
          <w:t>CSE, MVJCE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sdtContent>
    </w:sdt>
    <w:r>
      <w:tab/>
    </w:r>
    <w:r>
      <w:tab/>
      <w:t xml:space="preserve">   </w:t>
    </w:r>
    <w:r>
      <w:rPr>
        <w:rFonts w:cs="Times New Roman"/>
      </w:rPr>
      <w:t>2024 – 2025</w:t>
    </w:r>
  </w:p>
  <w:p w:rsidR="0070008A" w14:paraId="7E8FE58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4A9EB3A7" w14:textId="77777777">
    <w:pPr>
      <w:pStyle w:val="Header"/>
      <w:rPr>
        <w:rFonts w:cs="Times New Roman"/>
        <w:szCs w:val="24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678180</wp:posOffset>
              </wp:positionV>
              <wp:extent cx="5982335" cy="55245"/>
              <wp:effectExtent l="0" t="0" r="0" b="1905"/>
              <wp:wrapNone/>
              <wp:docPr id="815802919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49" style="width:471.05pt;height:4.35pt;margin-top:53.4pt;margin-left:0;mso-height-relative:page;mso-position-horizontal:center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r>
      <w:rPr>
        <w:rFonts w:cs="Times New Roman"/>
        <w:szCs w:val="24"/>
      </w:rPr>
      <w:t>HAZARD WASTE DETECTION USING AI AND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