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70008A" w14:paraId="426AFFF9" w14:textId="3FC56884">
      <w:pPr>
        <w:spacing w:before="0" w:after="0" w:line="360" w:lineRule="auto"/>
        <w:ind w:left="-142" w:right="-188"/>
        <w:rPr>
          <w:b/>
          <w:bCs/>
          <w:sz w:val="36"/>
          <w:szCs w:val="32"/>
        </w:rPr>
      </w:pPr>
      <w:r>
        <w:rPr>
          <w:b/>
          <w:bCs/>
          <w:sz w:val="36"/>
          <w:szCs w:val="32"/>
        </w:rPr>
        <w:t>CHAPTER 2</w:t>
      </w:r>
    </w:p>
    <w:p w:rsidR="0070008A" w14:paraId="1DEAC2BC" w14:textId="7A632559">
      <w:pPr>
        <w:pStyle w:val="Heading1"/>
        <w:spacing w:before="0" w:after="0"/>
        <w:ind w:left="-142" w:right="-188"/>
      </w:pPr>
      <w:bookmarkStart w:id="0" w:name="_Toc186107960"/>
      <w:r>
        <w:t>LITERATURE SURVEY</w:t>
      </w:r>
      <w:bookmarkEnd w:id="0"/>
    </w:p>
    <w:p w:rsidR="00995FE4" w:rsidRPr="00995FE4" w:rsidP="00995FE4" w14:paraId="489CC85C" w14:textId="77777777"/>
    <w:p w:rsidR="00DD36D4" w:rsidRPr="00DD36D4" w:rsidP="00DD36D4" w14:paraId="03222C41" w14:textId="77777777">
      <w:pPr>
        <w:spacing w:after="0" w:line="360" w:lineRule="auto"/>
        <w:ind w:left="-142" w:right="-188"/>
        <w:rPr>
          <w:rFonts w:eastAsiaTheme="majorEastAsia" w:cstheme="majorBidi"/>
          <w:b/>
          <w:bCs/>
          <w:sz w:val="28"/>
          <w:szCs w:val="28"/>
          <w:lang w:val="en-IN"/>
        </w:rPr>
      </w:pPr>
      <w:r w:rsidRPr="00DD36D4">
        <w:rPr>
          <w:rFonts w:eastAsiaTheme="majorEastAsia" w:cstheme="majorBidi"/>
          <w:b/>
          <w:bCs/>
          <w:sz w:val="28"/>
          <w:szCs w:val="28"/>
          <w:lang w:val="en-IN"/>
        </w:rPr>
        <w:t>2.1 Blockchain-Based Identity Verification System</w:t>
      </w:r>
    </w:p>
    <w:p w:rsidR="00DD36D4" w:rsidRPr="00DD36D4" w:rsidP="00DD36D4" w14:paraId="4B9B798A" w14:textId="621073D9">
      <w:pPr>
        <w:spacing w:after="0" w:line="360" w:lineRule="auto"/>
        <w:ind w:left="-142" w:right="-188"/>
        <w:rPr>
          <w:rFonts w:eastAsiaTheme="majorEastAsia" w:cstheme="majorBidi"/>
          <w:szCs w:val="24"/>
          <w:lang w:val="en-IN"/>
        </w:rPr>
      </w:pPr>
      <w:r w:rsidRPr="00DD36D4">
        <w:rPr>
          <w:rFonts w:eastAsiaTheme="majorEastAsia" w:cstheme="majorBidi"/>
          <w:b/>
          <w:bCs/>
          <w:szCs w:val="24"/>
          <w:lang w:val="en-IN"/>
        </w:rPr>
        <w:t>AUTHORS:</w:t>
      </w:r>
      <w:r w:rsidRPr="00DD36D4">
        <w:rPr>
          <w:rFonts w:eastAsiaTheme="majorEastAsia" w:cstheme="majorBidi"/>
          <w:szCs w:val="24"/>
          <w:lang w:val="en-IN"/>
        </w:rPr>
        <w:t xml:space="preserve"> Arshad Jamal; Ampuan Siti Nurin </w:t>
      </w:r>
      <w:r w:rsidRPr="00DD36D4">
        <w:rPr>
          <w:rFonts w:eastAsiaTheme="majorEastAsia" w:cstheme="majorBidi"/>
          <w:szCs w:val="24"/>
          <w:lang w:val="en-IN"/>
        </w:rPr>
        <w:t>Syahirah</w:t>
      </w:r>
      <w:r w:rsidRPr="00DD36D4">
        <w:rPr>
          <w:rFonts w:eastAsiaTheme="majorEastAsia" w:cstheme="majorBidi"/>
          <w:szCs w:val="24"/>
          <w:lang w:val="en-IN"/>
        </w:rPr>
        <w:t xml:space="preserve">; Rabab </w:t>
      </w:r>
      <w:r w:rsidRPr="00DD36D4">
        <w:rPr>
          <w:rFonts w:eastAsiaTheme="majorEastAsia" w:cstheme="majorBidi"/>
          <w:szCs w:val="24"/>
          <w:lang w:val="en-IN"/>
        </w:rPr>
        <w:t>Alayham</w:t>
      </w:r>
      <w:r w:rsidRPr="00DD36D4">
        <w:rPr>
          <w:rFonts w:eastAsiaTheme="majorEastAsia" w:cstheme="majorBidi"/>
          <w:szCs w:val="24"/>
          <w:lang w:val="en-IN"/>
        </w:rPr>
        <w:t xml:space="preserve"> Abbas Helmi; Mariam-Aisha Fatima</w:t>
      </w:r>
    </w:p>
    <w:p w:rsidR="00DD36D4" w:rsidRPr="00DD36D4" w:rsidP="00DD36D4" w14:paraId="5B0542D2" w14:textId="2C393123">
      <w:pPr>
        <w:spacing w:after="0" w:line="360" w:lineRule="auto"/>
        <w:ind w:left="-142" w:right="-188"/>
        <w:rPr>
          <w:rFonts w:eastAsiaTheme="majorEastAsia" w:cstheme="majorBidi"/>
          <w:szCs w:val="24"/>
          <w:lang w:val="en-IN"/>
        </w:rPr>
      </w:pPr>
      <w:r w:rsidRPr="00DD36D4">
        <w:rPr>
          <w:rFonts w:eastAsiaTheme="majorEastAsia" w:cstheme="majorBidi"/>
          <w:b/>
          <w:bCs/>
          <w:szCs w:val="24"/>
          <w:lang w:val="en-IN"/>
        </w:rPr>
        <w:t>PUBLISHED ON:</w:t>
      </w:r>
      <w:r w:rsidRPr="00DD36D4">
        <w:rPr>
          <w:rFonts w:eastAsiaTheme="majorEastAsia" w:cstheme="majorBidi"/>
          <w:szCs w:val="24"/>
          <w:lang w:val="en-IN"/>
        </w:rPr>
        <w:t xml:space="preserve"> 2019</w:t>
      </w:r>
    </w:p>
    <w:p w:rsidR="00DD36D4" w:rsidP="00DD36D4" w14:paraId="1EEC6632" w14:textId="77777777">
      <w:pPr>
        <w:spacing w:after="0" w:line="360" w:lineRule="auto"/>
        <w:ind w:left="-142" w:right="-188"/>
        <w:rPr>
          <w:rFonts w:eastAsiaTheme="majorEastAsia" w:cstheme="majorBidi"/>
          <w:szCs w:val="24"/>
          <w:lang w:val="en-IN"/>
        </w:rPr>
      </w:pPr>
      <w:r w:rsidRPr="00DD36D4">
        <w:rPr>
          <w:rFonts w:eastAsiaTheme="majorEastAsia" w:cstheme="majorBidi"/>
          <w:szCs w:val="24"/>
          <w:lang w:val="en-IN"/>
        </w:rPr>
        <w:t>This paper proposes a blockchain-based identity verification system aimed at improving the security and control of personal data. The system is designed for three main users: individuals (users), authorities, and third-party requesters. Users can approve data access and monitor requester history; authorities manage user records and approve requesters; and third-parties can request access to user data. Leveraging the immutability and decentralized nature of blockchain, the system ensures that only verified access occurs, reducing risks of identity theft and document loss. The study discusses how smart contracts can automate verification and reputation building, while also highlighting integration possibilities with existing national ID systems like Aadhaar, and even with healthcare and insurance platforms. Ultimately, the system enhances user control, data transparency, and trust in digital identity ecosystems.</w:t>
      </w:r>
    </w:p>
    <w:p w:rsidR="00DD36D4" w:rsidP="00DD36D4" w14:paraId="5AC4FB93" w14:textId="77777777">
      <w:pPr>
        <w:spacing w:after="0" w:line="360" w:lineRule="auto"/>
        <w:ind w:left="-142" w:right="-188"/>
        <w:rPr>
          <w:rFonts w:eastAsiaTheme="majorEastAsia" w:cstheme="majorBidi"/>
          <w:szCs w:val="24"/>
          <w:lang w:val="en-IN"/>
        </w:rPr>
      </w:pPr>
    </w:p>
    <w:p w:rsidR="00960042" w:rsidRPr="00960042" w:rsidP="00960042" w14:paraId="11F09113" w14:textId="77777777">
      <w:pPr>
        <w:spacing w:after="0" w:line="360" w:lineRule="auto"/>
        <w:ind w:left="-142" w:right="-188"/>
        <w:rPr>
          <w:rFonts w:eastAsiaTheme="majorEastAsia" w:cstheme="majorBidi"/>
          <w:b/>
          <w:bCs/>
          <w:sz w:val="28"/>
          <w:szCs w:val="28"/>
          <w:lang w:val="en-IN"/>
        </w:rPr>
      </w:pPr>
      <w:r w:rsidRPr="00960042">
        <w:rPr>
          <w:rFonts w:eastAsiaTheme="majorEastAsia" w:cstheme="majorBidi"/>
          <w:b/>
          <w:bCs/>
          <w:sz w:val="28"/>
          <w:szCs w:val="28"/>
          <w:lang w:val="en-IN"/>
        </w:rPr>
        <w:t>2.2 Security and Privacy of AWS S3 and Azure Blob Storage Services</w:t>
      </w:r>
    </w:p>
    <w:p w:rsidR="00960042" w:rsidRPr="00960042" w:rsidP="00960042" w14:paraId="1E69B08F" w14:textId="4C5D7C3F">
      <w:pPr>
        <w:spacing w:after="0" w:line="360" w:lineRule="auto"/>
        <w:ind w:left="-142" w:right="-188"/>
        <w:rPr>
          <w:rFonts w:eastAsiaTheme="majorEastAsia" w:cstheme="majorBidi"/>
          <w:sz w:val="28"/>
          <w:szCs w:val="28"/>
          <w:lang w:val="en-IN"/>
        </w:rPr>
      </w:pPr>
      <w:r w:rsidRPr="00960042">
        <w:rPr>
          <w:rFonts w:eastAsiaTheme="majorEastAsia" w:cstheme="majorBidi"/>
          <w:b/>
          <w:bCs/>
          <w:sz w:val="28"/>
          <w:szCs w:val="28"/>
          <w:lang w:val="en-IN"/>
        </w:rPr>
        <w:t>AUTHORS:</w:t>
      </w:r>
      <w:r w:rsidRPr="00960042">
        <w:rPr>
          <w:rFonts w:eastAsiaTheme="majorEastAsia" w:cstheme="majorBidi"/>
          <w:sz w:val="28"/>
          <w:szCs w:val="28"/>
          <w:lang w:val="en-IN"/>
        </w:rPr>
        <w:t xml:space="preserve"> Iman Saeed; Sarah Baras; Hassan </w:t>
      </w:r>
      <w:r w:rsidRPr="00960042">
        <w:rPr>
          <w:rFonts w:eastAsiaTheme="majorEastAsia" w:cstheme="majorBidi"/>
          <w:sz w:val="28"/>
          <w:szCs w:val="28"/>
          <w:lang w:val="en-IN"/>
        </w:rPr>
        <w:t>Hajjdiab</w:t>
      </w:r>
    </w:p>
    <w:p w:rsidR="00960042" w:rsidRPr="00960042" w:rsidP="00960042" w14:paraId="4259917B" w14:textId="39745A9F">
      <w:pPr>
        <w:spacing w:after="0" w:line="360" w:lineRule="auto"/>
        <w:ind w:left="-142" w:right="-188"/>
        <w:rPr>
          <w:rFonts w:eastAsiaTheme="majorEastAsia" w:cstheme="majorBidi"/>
          <w:sz w:val="28"/>
          <w:szCs w:val="28"/>
          <w:lang w:val="en-IN"/>
        </w:rPr>
      </w:pPr>
      <w:r w:rsidRPr="00960042">
        <w:rPr>
          <w:rFonts w:eastAsiaTheme="majorEastAsia" w:cstheme="majorBidi"/>
          <w:b/>
          <w:bCs/>
          <w:sz w:val="28"/>
          <w:szCs w:val="28"/>
          <w:lang w:val="en-IN"/>
        </w:rPr>
        <w:t>PUBLISHED ON:</w:t>
      </w:r>
      <w:r w:rsidRPr="00960042">
        <w:rPr>
          <w:rFonts w:eastAsiaTheme="majorEastAsia" w:cstheme="majorBidi"/>
          <w:sz w:val="28"/>
          <w:szCs w:val="28"/>
          <w:lang w:val="en-IN"/>
        </w:rPr>
        <w:t xml:space="preserve"> 201</w:t>
      </w:r>
      <w:r>
        <w:rPr>
          <w:rFonts w:eastAsiaTheme="majorEastAsia" w:cstheme="majorBidi"/>
          <w:sz w:val="28"/>
          <w:szCs w:val="28"/>
          <w:lang w:val="en-IN"/>
        </w:rPr>
        <w:t>9</w:t>
      </w:r>
    </w:p>
    <w:p w:rsidR="0070008A" w:rsidRPr="00960042" w:rsidP="00960042" w14:paraId="2ADE13C1" w14:textId="012EF90C">
      <w:pPr>
        <w:spacing w:after="0" w:line="360" w:lineRule="auto"/>
        <w:ind w:left="-142" w:right="-188"/>
        <w:rPr>
          <w:szCs w:val="24"/>
        </w:rPr>
      </w:pPr>
      <w:r w:rsidRPr="00960042">
        <w:rPr>
          <w:rFonts w:eastAsiaTheme="majorEastAsia" w:cstheme="majorBidi"/>
          <w:szCs w:val="24"/>
          <w:lang w:val="en-IN"/>
        </w:rPr>
        <w:t xml:space="preserve">This study conducts a comparative analysis of the security and privacy features of two major cloud storage services: Amazon AWS S3 and Microsoft Azure Blob Storage. The research emphasizes compliance programs, access control mechanisms, and encryption standards to evaluate data protection capabilities. Both platforms offer strong adherence to global standards such as ISO 27001, SOC, and PCI DSS, but Azure is shown to have broader compliance coverage, including ISO 20000 and ISO 22301. AWS employs Identity and Access Management (IAM) for fine-grained access control, while Azure leverages Azure Active Directory and Role-Based Access Control (RBAC). Data protection in transit and at rest is enforced through multi-layer encryption, with AWS supporting AES-256 and client-side encryption, and Azure utilizing Storage Service Encryption and Key Vault for key management. The study also highlights vulnerabilities like misconfigured S3 buckets and Azure deployment flaws, indicating that while both services offer </w:t>
      </w:r>
    </w:p>
    <w:sectPr>
      <w:headerReference w:type="default" r:id="rId6"/>
      <w:footerReference w:type="default" r:id="rId7"/>
      <w:pgSz w:w="11906" w:h="16838"/>
      <w:pgMar w:top="1440" w:right="1440" w:bottom="1440" w:left="1440" w:header="720" w:footer="720" w:gutter="0"/>
      <w:pgNumType w:start="2"/>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665FA6D3" w14:textId="77777777">
    <w:pPr>
      <w:pStyle w:val="Footer"/>
      <w:tabs>
        <w:tab w:val="left" w:pos="408"/>
        <w:tab w:val="center" w:pos="4513"/>
        <w:tab w:val="right" w:pos="9026"/>
        <w:tab w:val="clear" w:pos="9360"/>
      </w:tabs>
      <w:jc w:val="left"/>
      <w:rPr>
        <w:rFonts w:cs="Times New Roman"/>
        <w:sz w:val="22"/>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posOffset>-129540</wp:posOffset>
              </wp:positionH>
              <wp:positionV relativeFrom="page">
                <wp:posOffset>9801860</wp:posOffset>
              </wp:positionV>
              <wp:extent cx="5982335" cy="55245"/>
              <wp:effectExtent l="0" t="0" r="0" b="1905"/>
              <wp:wrapNone/>
              <wp:docPr id="2131355760"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50" style="width:471.05pt;height:4.35pt;margin-top:771.8pt;margin-left:-10.2pt;mso-height-relative:page;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sdt>
      <w:sdtPr>
        <w:id w:val="2027118101"/>
        <w:docPartObj>
          <w:docPartGallery w:val="AutoText"/>
        </w:docPartObj>
      </w:sdtPr>
      <w:sdtContent>
        <w:r>
          <w:rPr>
            <w:rFonts w:cs="Times New Roman"/>
          </w:rPr>
          <w:t xml:space="preserve">Dept. of </w:t>
        </w:r>
        <w:r>
          <w:rPr>
            <w:rFonts w:cs="Times New Roman"/>
          </w:rPr>
          <w:t>CSE, MVJCE</w:t>
        </w:r>
        <w:r>
          <w:tab/>
        </w:r>
        <w:r>
          <w:fldChar w:fldCharType="begin"/>
        </w:r>
        <w:r>
          <w:instrText xml:space="preserve"> PAGE   \* MERGEFORMAT </w:instrText>
        </w:r>
        <w:r>
          <w:fldChar w:fldCharType="separate"/>
        </w:r>
        <w:r>
          <w:t>19</w:t>
        </w:r>
        <w:r>
          <w:fldChar w:fldCharType="end"/>
        </w:r>
      </w:sdtContent>
    </w:sdt>
    <w:r>
      <w:tab/>
    </w:r>
    <w:r>
      <w:tab/>
      <w:t xml:space="preserve">   </w:t>
    </w:r>
    <w:r>
      <w:rPr>
        <w:rFonts w:cs="Times New Roman"/>
      </w:rPr>
      <w:t>2024 – 2025</w:t>
    </w:r>
  </w:p>
  <w:p w:rsidR="0070008A" w14:paraId="7E8FE582"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4A9EB3A7" w14:textId="77777777">
    <w:pPr>
      <w:pStyle w:val="Header"/>
      <w:rPr>
        <w:rFonts w:cs="Times New Roman"/>
        <w:szCs w:val="24"/>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align>center</wp:align>
              </wp:positionH>
              <wp:positionV relativeFrom="page">
                <wp:posOffset>678180</wp:posOffset>
              </wp:positionV>
              <wp:extent cx="5982335" cy="55245"/>
              <wp:effectExtent l="0" t="0" r="0" b="1905"/>
              <wp:wrapNone/>
              <wp:docPr id="815802919"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49" style="width:471.05pt;height:4.35pt;margin-top:53.4pt;margin-left:0;mso-height-relative:page;mso-position-horizontal:center;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r>
      <w:rPr>
        <w:rFonts w:cs="Times New Roman"/>
        <w:szCs w:val="24"/>
      </w:rPr>
      <w:t>HAZARD WASTE DETECTION USING AI AND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