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rsidRPr="00960042" w:rsidP="00960042" w14:paraId="2ADE13C1" w14:textId="012EF90C">
      <w:pPr>
        <w:spacing w:before="0" w:after="0" w:line="360" w:lineRule="auto"/>
        <w:ind w:left="-142" w:right="-188" w:firstLine="0"/>
        <w:rPr>
          <w:szCs w:val="24"/>
        </w:rPr>
      </w:pPr>
      <w:r w:rsidRPr="00960042">
        <w:rPr>
          <w:rFonts w:eastAsiaTheme="majorEastAsia" w:cstheme="majorBidi"/>
          <w:szCs w:val="24"/>
          <w:lang w:val="en-IN"/>
        </w:rPr>
        <w:t>robust security features, misconfigurations remain a key risk factor. The paper concludes that while AWS maintains its leadership in cloud services, Azure demonstrates exceptional compliance and access control capabilities that position it as a competitive alternative.</w:t>
      </w:r>
    </w:p>
    <w:p w:rsidR="0070008A" w:rsidP="00DF6736" w14:paraId="24A89D25" w14:textId="77777777">
      <w:pPr>
        <w:spacing w:after="0" w:line="360" w:lineRule="auto"/>
        <w:ind w:left="-142" w:right="-188"/>
      </w:pPr>
    </w:p>
    <w:p w:rsidR="00960042" w:rsidRPr="00960042" w:rsidP="00960042" w14:paraId="0B2B7E59" w14:textId="77777777">
      <w:pPr>
        <w:spacing w:after="0" w:line="360" w:lineRule="auto"/>
        <w:ind w:left="-142" w:right="-188"/>
        <w:rPr>
          <w:rFonts w:eastAsiaTheme="majorEastAsia" w:cstheme="majorBidi"/>
          <w:b/>
          <w:bCs/>
          <w:sz w:val="28"/>
          <w:szCs w:val="28"/>
          <w:lang w:val="en-IN"/>
        </w:rPr>
      </w:pPr>
      <w:r w:rsidRPr="00960042">
        <w:rPr>
          <w:rFonts w:eastAsiaTheme="majorEastAsia" w:cstheme="majorBidi"/>
          <w:b/>
          <w:bCs/>
          <w:sz w:val="28"/>
          <w:szCs w:val="28"/>
          <w:lang w:val="en-IN"/>
        </w:rPr>
        <w:t>2.3 Research on Online Cloud Storage Technology</w:t>
      </w:r>
    </w:p>
    <w:p w:rsidR="00960042" w:rsidRPr="00960042" w:rsidP="00960042" w14:paraId="37816313" w14:textId="5616DCAD">
      <w:pPr>
        <w:spacing w:after="0" w:line="360" w:lineRule="auto"/>
        <w:ind w:left="-142" w:right="-188"/>
        <w:rPr>
          <w:rFonts w:eastAsiaTheme="majorEastAsia" w:cstheme="majorBidi"/>
          <w:szCs w:val="24"/>
          <w:lang w:val="en-IN"/>
        </w:rPr>
      </w:pPr>
      <w:r w:rsidRPr="00960042">
        <w:rPr>
          <w:rFonts w:eastAsiaTheme="majorEastAsia" w:cstheme="majorBidi"/>
          <w:b/>
          <w:bCs/>
          <w:szCs w:val="24"/>
          <w:lang w:val="en-IN"/>
        </w:rPr>
        <w:t>AUTHORS:</w:t>
      </w:r>
      <w:r w:rsidRPr="00960042">
        <w:rPr>
          <w:rFonts w:eastAsiaTheme="majorEastAsia" w:cstheme="majorBidi"/>
          <w:szCs w:val="24"/>
          <w:lang w:val="en-IN"/>
        </w:rPr>
        <w:t xml:space="preserve"> ZOU Shan-</w:t>
      </w:r>
      <w:r w:rsidRPr="00960042">
        <w:rPr>
          <w:rFonts w:eastAsiaTheme="majorEastAsia" w:cstheme="majorBidi"/>
          <w:szCs w:val="24"/>
          <w:lang w:val="en-IN"/>
        </w:rPr>
        <w:t>hua</w:t>
      </w:r>
      <w:r w:rsidRPr="00960042">
        <w:rPr>
          <w:rFonts w:eastAsiaTheme="majorEastAsia" w:cstheme="majorBidi"/>
          <w:szCs w:val="24"/>
          <w:lang w:val="en-IN"/>
        </w:rPr>
        <w:t>; FANG Ning-sheng; GAO Wei-</w:t>
      </w:r>
      <w:r w:rsidRPr="00960042">
        <w:rPr>
          <w:rFonts w:eastAsiaTheme="majorEastAsia" w:cstheme="majorBidi"/>
          <w:szCs w:val="24"/>
          <w:lang w:val="en-IN"/>
        </w:rPr>
        <w:t>jie</w:t>
      </w:r>
    </w:p>
    <w:p w:rsidR="00960042" w:rsidRPr="00960042" w:rsidP="00960042" w14:paraId="3A97FF79" w14:textId="5D8518D7">
      <w:pPr>
        <w:spacing w:after="0" w:line="360" w:lineRule="auto"/>
        <w:ind w:left="-142" w:right="-188"/>
        <w:rPr>
          <w:rFonts w:eastAsiaTheme="majorEastAsia" w:cstheme="majorBidi"/>
          <w:szCs w:val="24"/>
          <w:lang w:val="en-IN"/>
        </w:rPr>
      </w:pPr>
      <w:r w:rsidRPr="00960042">
        <w:rPr>
          <w:rFonts w:eastAsiaTheme="majorEastAsia" w:cstheme="majorBidi"/>
          <w:b/>
          <w:bCs/>
          <w:szCs w:val="24"/>
          <w:lang w:val="en-IN"/>
        </w:rPr>
        <w:t>PUBLISHED ON:</w:t>
      </w:r>
      <w:r w:rsidRPr="00960042">
        <w:rPr>
          <w:rFonts w:eastAsiaTheme="majorEastAsia" w:cstheme="majorBidi"/>
          <w:szCs w:val="24"/>
          <w:lang w:val="en-IN"/>
        </w:rPr>
        <w:t xml:space="preserve"> 2020</w:t>
      </w:r>
    </w:p>
    <w:p w:rsidR="00960042" w:rsidP="00960042" w14:paraId="36BA0052" w14:textId="77777777">
      <w:pPr>
        <w:spacing w:after="0" w:line="360" w:lineRule="auto"/>
        <w:ind w:left="-142" w:right="-188"/>
        <w:rPr>
          <w:rFonts w:eastAsiaTheme="majorEastAsia" w:cstheme="majorBidi"/>
          <w:szCs w:val="24"/>
          <w:lang w:val="en-IN"/>
        </w:rPr>
      </w:pPr>
      <w:r w:rsidRPr="00960042">
        <w:rPr>
          <w:rFonts w:eastAsiaTheme="majorEastAsia" w:cstheme="majorBidi"/>
          <w:szCs w:val="24"/>
          <w:lang w:val="en-IN"/>
        </w:rPr>
        <w:t>This paper explores key technical challenges and solutions related to personal online cloud storage systems, a core application of the SaaS model. The study focuses on storage reliability, performance, scalability, and user experience. It introduces a shift from server-centric to information-centric architectures, utilizing technologies like Network Attached Storage (NAS) and RAID to enhance fault tolerance and data availability. The system architecture incorporates load balancing techniques, such as DNS scheduling and reverse proxy using NGINX, to manage high user concurrency and ensure uptime. Additionally, the use of Content Distribution Networks (CDNs) accelerates access to large static files like videos and photos by caching data closer to users. Disaster recovery is achieved through remote replication—both synchronous and asynchronous—to protect against catastrophic failures. The study concludes that a multi-layered approach combining hardware reliability, dynamic policy enforcement, and geographic distribution ensures a robust and user-friendly cloud storage experience.</w:t>
      </w:r>
    </w:p>
    <w:p w:rsidR="00960042" w:rsidP="00960042" w14:paraId="771E3932" w14:textId="77777777">
      <w:pPr>
        <w:spacing w:after="0" w:line="360" w:lineRule="auto"/>
        <w:ind w:left="-142" w:right="-188"/>
        <w:rPr>
          <w:rFonts w:eastAsiaTheme="majorEastAsia" w:cstheme="majorBidi"/>
          <w:szCs w:val="24"/>
          <w:lang w:val="en-IN"/>
        </w:rPr>
      </w:pPr>
    </w:p>
    <w:p w:rsidR="00960042" w:rsidRPr="00960042" w:rsidP="00960042" w14:paraId="36CEA73D" w14:textId="77777777">
      <w:pPr>
        <w:spacing w:after="0" w:line="360" w:lineRule="auto"/>
        <w:ind w:left="-142" w:right="-188"/>
        <w:rPr>
          <w:rFonts w:eastAsiaTheme="majorEastAsia" w:cstheme="majorBidi"/>
          <w:b/>
          <w:bCs/>
          <w:sz w:val="28"/>
          <w:szCs w:val="28"/>
          <w:lang w:val="en-IN"/>
        </w:rPr>
      </w:pPr>
      <w:r w:rsidRPr="00960042">
        <w:rPr>
          <w:rFonts w:eastAsiaTheme="majorEastAsia" w:cstheme="majorBidi"/>
          <w:b/>
          <w:bCs/>
          <w:sz w:val="28"/>
          <w:szCs w:val="28"/>
          <w:lang w:val="en-IN"/>
        </w:rPr>
        <w:t>2.4 Vietnamese Question Answering System from Multilingual BERT Models to Monolingual BERT Model</w:t>
      </w:r>
    </w:p>
    <w:p w:rsidR="00960042" w:rsidRPr="00960042" w:rsidP="00960042" w14:paraId="64424519" w14:textId="0BF8CC02">
      <w:pPr>
        <w:spacing w:after="0" w:line="360" w:lineRule="auto"/>
        <w:ind w:left="-142" w:right="-188"/>
        <w:rPr>
          <w:rFonts w:eastAsiaTheme="majorEastAsia" w:cstheme="majorBidi"/>
          <w:szCs w:val="24"/>
          <w:lang w:val="en-IN"/>
        </w:rPr>
      </w:pPr>
      <w:r w:rsidRPr="00960042">
        <w:rPr>
          <w:rFonts w:eastAsiaTheme="majorEastAsia" w:cstheme="majorBidi"/>
          <w:b/>
          <w:bCs/>
          <w:szCs w:val="24"/>
          <w:lang w:val="en-IN"/>
        </w:rPr>
        <w:t xml:space="preserve">AUTHORS: </w:t>
      </w:r>
      <w:r w:rsidRPr="00960042">
        <w:rPr>
          <w:rFonts w:eastAsiaTheme="majorEastAsia" w:cstheme="majorBidi"/>
          <w:szCs w:val="24"/>
          <w:lang w:val="en-IN"/>
        </w:rPr>
        <w:t xml:space="preserve">Nguyen </w:t>
      </w:r>
      <w:r w:rsidRPr="00960042">
        <w:rPr>
          <w:rFonts w:eastAsiaTheme="majorEastAsia" w:cstheme="majorBidi"/>
          <w:szCs w:val="24"/>
          <w:lang w:val="en-IN"/>
        </w:rPr>
        <w:t>Thi</w:t>
      </w:r>
      <w:r w:rsidRPr="00960042">
        <w:rPr>
          <w:rFonts w:eastAsiaTheme="majorEastAsia" w:cstheme="majorBidi"/>
          <w:szCs w:val="24"/>
          <w:lang w:val="en-IN"/>
        </w:rPr>
        <w:t xml:space="preserve"> Mai Trang; Maxim Shcherbakov</w:t>
      </w:r>
    </w:p>
    <w:p w:rsidR="00960042" w:rsidRPr="00960042" w:rsidP="00960042" w14:paraId="09EE0FD0" w14:textId="7D038B02">
      <w:pPr>
        <w:spacing w:after="0" w:line="360" w:lineRule="auto"/>
        <w:ind w:left="-142" w:right="-188"/>
        <w:rPr>
          <w:rFonts w:eastAsiaTheme="majorEastAsia" w:cstheme="majorBidi"/>
          <w:b/>
          <w:bCs/>
          <w:szCs w:val="24"/>
          <w:lang w:val="en-IN"/>
        </w:rPr>
      </w:pPr>
      <w:r w:rsidRPr="00960042">
        <w:rPr>
          <w:rFonts w:eastAsiaTheme="majorEastAsia" w:cstheme="majorBidi"/>
          <w:b/>
          <w:bCs/>
          <w:szCs w:val="24"/>
          <w:lang w:val="en-IN"/>
        </w:rPr>
        <w:t xml:space="preserve">PUBLISHED ON: </w:t>
      </w:r>
      <w:r w:rsidRPr="00960042">
        <w:rPr>
          <w:rFonts w:eastAsiaTheme="majorEastAsia" w:cstheme="majorBidi"/>
          <w:szCs w:val="24"/>
          <w:lang w:val="en-IN"/>
        </w:rPr>
        <w:t>2020</w:t>
      </w:r>
    </w:p>
    <w:p w:rsidR="00983635" w:rsidP="008A40D9" w14:paraId="1CCE1E72" w14:textId="7E19EB61">
      <w:pPr>
        <w:spacing w:after="0" w:line="360" w:lineRule="auto"/>
        <w:ind w:left="-142" w:right="-188"/>
        <w:rPr>
          <w:rFonts w:eastAsiaTheme="majorEastAsia" w:cstheme="majorBidi"/>
          <w:szCs w:val="24"/>
          <w:lang w:val="en-IN"/>
        </w:rPr>
      </w:pPr>
      <w:r w:rsidRPr="00960042">
        <w:rPr>
          <w:rFonts w:eastAsiaTheme="majorEastAsia" w:cstheme="majorBidi"/>
          <w:szCs w:val="24"/>
          <w:lang w:val="en-IN"/>
        </w:rPr>
        <w:t xml:space="preserve">This paper presents a Vietnamese Question Answering (QA) system leveraging both multilingual and monolingual BERT-based models. Four models are evaluated: multilingual BERT (M-BERT), </w:t>
      </w:r>
      <w:r w:rsidRPr="00960042">
        <w:rPr>
          <w:rFonts w:eastAsiaTheme="majorEastAsia" w:cstheme="majorBidi"/>
          <w:szCs w:val="24"/>
          <w:lang w:val="en-IN"/>
        </w:rPr>
        <w:t>DeepPavlov</w:t>
      </w:r>
      <w:r w:rsidRPr="00960042">
        <w:rPr>
          <w:rFonts w:eastAsiaTheme="majorEastAsia" w:cstheme="majorBidi"/>
          <w:szCs w:val="24"/>
          <w:lang w:val="en-IN"/>
        </w:rPr>
        <w:t xml:space="preserve"> Multilingual BERT (</w:t>
      </w:r>
      <w:r w:rsidRPr="00960042">
        <w:rPr>
          <w:rFonts w:eastAsiaTheme="majorEastAsia" w:cstheme="majorBidi"/>
          <w:szCs w:val="24"/>
          <w:lang w:val="en-IN"/>
        </w:rPr>
        <w:t>DmBERT</w:t>
      </w:r>
      <w:r w:rsidRPr="00960042">
        <w:rPr>
          <w:rFonts w:eastAsiaTheme="majorEastAsia" w:cstheme="majorBidi"/>
          <w:szCs w:val="24"/>
          <w:lang w:val="en-IN"/>
        </w:rPr>
        <w:t xml:space="preserve">), multilingual BERT fine-tuned on </w:t>
      </w:r>
      <w:r w:rsidRPr="00960042">
        <w:rPr>
          <w:rFonts w:eastAsiaTheme="majorEastAsia" w:cstheme="majorBidi"/>
          <w:szCs w:val="24"/>
          <w:lang w:val="en-IN"/>
        </w:rPr>
        <w:t>XQuAD</w:t>
      </w:r>
      <w:r w:rsidRPr="00960042">
        <w:rPr>
          <w:rFonts w:eastAsiaTheme="majorEastAsia" w:cstheme="majorBidi"/>
          <w:szCs w:val="24"/>
          <w:lang w:val="en-IN"/>
        </w:rPr>
        <w:t xml:space="preserve"> (</w:t>
      </w:r>
      <w:r w:rsidRPr="00960042">
        <w:rPr>
          <w:rFonts w:eastAsiaTheme="majorEastAsia" w:cstheme="majorBidi"/>
          <w:szCs w:val="24"/>
          <w:lang w:val="en-IN"/>
        </w:rPr>
        <w:t>mBERT_XQuAD</w:t>
      </w:r>
      <w:r w:rsidRPr="00960042">
        <w:rPr>
          <w:rFonts w:eastAsiaTheme="majorEastAsia" w:cstheme="majorBidi"/>
          <w:szCs w:val="24"/>
          <w:lang w:val="en-IN"/>
        </w:rPr>
        <w:t xml:space="preserve">), and </w:t>
      </w:r>
      <w:r w:rsidRPr="00960042">
        <w:rPr>
          <w:rFonts w:eastAsiaTheme="majorEastAsia" w:cstheme="majorBidi"/>
          <w:szCs w:val="24"/>
          <w:lang w:val="en-IN"/>
        </w:rPr>
        <w:t>PhoBERT</w:t>
      </w:r>
      <w:r w:rsidRPr="00960042">
        <w:rPr>
          <w:rFonts w:eastAsiaTheme="majorEastAsia" w:cstheme="majorBidi"/>
          <w:szCs w:val="24"/>
          <w:lang w:val="en-IN"/>
        </w:rPr>
        <w:t xml:space="preserve">, a Vietnamese-specific BERT model. Using a dataset from Vietnamese Wikipedia, the study fine-tunes and compares the models for open-domain QA tasks. Experimental results show that </w:t>
      </w:r>
      <w:r w:rsidRPr="00960042">
        <w:rPr>
          <w:rFonts w:eastAsiaTheme="majorEastAsia" w:cstheme="majorBidi"/>
          <w:szCs w:val="24"/>
          <w:lang w:val="en-IN"/>
        </w:rPr>
        <w:t>PhoBERT</w:t>
      </w:r>
      <w:r w:rsidRPr="00960042">
        <w:rPr>
          <w:rFonts w:eastAsiaTheme="majorEastAsia" w:cstheme="majorBidi"/>
          <w:szCs w:val="24"/>
          <w:lang w:val="en-IN"/>
        </w:rPr>
        <w:t xml:space="preserve"> outperforms the multilingual models with the highest F1-score of 0.806, closely followed by </w:t>
      </w:r>
      <w:r w:rsidRPr="00960042">
        <w:rPr>
          <w:rFonts w:eastAsiaTheme="majorEastAsia" w:cstheme="majorBidi"/>
          <w:szCs w:val="24"/>
          <w:lang w:val="en-IN"/>
        </w:rPr>
        <w:t>mBERT_XQuAD</w:t>
      </w:r>
      <w:r w:rsidRPr="00960042">
        <w:rPr>
          <w:rFonts w:eastAsiaTheme="majorEastAsia" w:cstheme="majorBidi"/>
          <w:szCs w:val="24"/>
          <w:lang w:val="en-IN"/>
        </w:rPr>
        <w:t xml:space="preserve"> at 0.802. The study highlights the limitations of cross-lingual performance in M-BERT and supports the effectiveness of language-specific models like </w:t>
      </w:r>
      <w:r w:rsidRPr="00960042">
        <w:rPr>
          <w:rFonts w:eastAsiaTheme="majorEastAsia" w:cstheme="majorBidi"/>
          <w:szCs w:val="24"/>
          <w:lang w:val="en-IN"/>
        </w:rPr>
        <w:t>PhoBERT</w:t>
      </w:r>
      <w:r w:rsidRPr="00960042">
        <w:rPr>
          <w:rFonts w:eastAsiaTheme="majorEastAsia" w:cstheme="majorBidi"/>
          <w:szCs w:val="24"/>
          <w:lang w:val="en-IN"/>
        </w:rPr>
        <w:t xml:space="preserve"> in low-resource languages. </w:t>
      </w:r>
    </w:p>
    <w:sectPr>
      <w:headerReference w:type="default" r:id="rId6"/>
      <w:footerReference w:type="default" r:id="rId7"/>
      <w:pgSz w:w="11906" w:h="16838"/>
      <w:pgMar w:top="1440" w:right="1440" w:bottom="1440" w:left="1440" w:header="720" w:footer="720" w:gutter="0"/>
      <w:pgNumType w:start="3"/>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312699944"/>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