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4A284E" w:rsidRPr="004A284E" w:rsidP="004A284E" w14:paraId="19A09A24" w14:textId="77777777">
      <w:pPr>
        <w:spacing w:before="0" w:after="0" w:line="360" w:lineRule="auto"/>
        <w:ind w:left="-142" w:right="-188"/>
        <w:rPr>
          <w:rFonts w:eastAsiaTheme="majorEastAsia" w:cstheme="majorBidi"/>
          <w:b/>
          <w:bCs/>
          <w:sz w:val="28"/>
          <w:szCs w:val="28"/>
          <w:lang w:val="en-IN"/>
        </w:rPr>
      </w:pPr>
      <w:r w:rsidRPr="004A284E">
        <w:rPr>
          <w:rFonts w:eastAsiaTheme="majorEastAsia" w:cstheme="majorBidi"/>
          <w:b/>
          <w:bCs/>
          <w:sz w:val="28"/>
          <w:szCs w:val="28"/>
          <w:lang w:val="en-IN"/>
        </w:rPr>
        <w:t>2.5 Attribute-Based Access Control for AWS Internet of Things and Secure Industries of the Future</w:t>
      </w:r>
    </w:p>
    <w:p w:rsidR="004A284E" w:rsidRPr="004A284E" w:rsidP="004A284E" w14:paraId="36B0DF87" w14:textId="00DA7054">
      <w:pPr>
        <w:spacing w:after="0" w:line="360" w:lineRule="auto"/>
        <w:ind w:left="-142" w:right="-188"/>
        <w:rPr>
          <w:rFonts w:eastAsiaTheme="majorEastAsia" w:cstheme="majorBidi"/>
          <w:szCs w:val="24"/>
          <w:lang w:val="en-IN"/>
        </w:rPr>
      </w:pPr>
      <w:r w:rsidRPr="004A284E">
        <w:rPr>
          <w:rFonts w:eastAsiaTheme="majorEastAsia" w:cstheme="majorBidi"/>
          <w:b/>
          <w:bCs/>
          <w:szCs w:val="24"/>
          <w:lang w:val="en-IN"/>
        </w:rPr>
        <w:t>AUTHORS:</w:t>
      </w:r>
      <w:r w:rsidRPr="004A284E">
        <w:rPr>
          <w:rFonts w:eastAsiaTheme="majorEastAsia" w:cstheme="majorBidi"/>
          <w:szCs w:val="24"/>
          <w:lang w:val="en-IN"/>
        </w:rPr>
        <w:t xml:space="preserve"> Smriti Bhatt; Thanh Kim Pham; </w:t>
      </w:r>
      <w:r w:rsidRPr="004A284E">
        <w:rPr>
          <w:rFonts w:eastAsiaTheme="majorEastAsia" w:cstheme="majorBidi"/>
          <w:szCs w:val="24"/>
          <w:lang w:val="en-IN"/>
        </w:rPr>
        <w:t>Maanak</w:t>
      </w:r>
      <w:r w:rsidRPr="004A284E">
        <w:rPr>
          <w:rFonts w:eastAsiaTheme="majorEastAsia" w:cstheme="majorBidi"/>
          <w:szCs w:val="24"/>
          <w:lang w:val="en-IN"/>
        </w:rPr>
        <w:t xml:space="preserve"> Gupta; James Benson; </w:t>
      </w:r>
      <w:r w:rsidRPr="004A284E">
        <w:rPr>
          <w:rFonts w:eastAsiaTheme="majorEastAsia" w:cstheme="majorBidi"/>
          <w:szCs w:val="24"/>
          <w:lang w:val="en-IN"/>
        </w:rPr>
        <w:t>Jaehong</w:t>
      </w:r>
      <w:r w:rsidRPr="004A284E">
        <w:rPr>
          <w:rFonts w:eastAsiaTheme="majorEastAsia" w:cstheme="majorBidi"/>
          <w:szCs w:val="24"/>
          <w:lang w:val="en-IN"/>
        </w:rPr>
        <w:t xml:space="preserve"> Park; Ravi Sandhu</w:t>
      </w:r>
    </w:p>
    <w:p w:rsidR="004A284E" w:rsidRPr="004A284E" w:rsidP="004A284E" w14:paraId="42FE09AF" w14:textId="4D639866">
      <w:pPr>
        <w:spacing w:after="0" w:line="360" w:lineRule="auto"/>
        <w:ind w:left="-142" w:right="-188"/>
        <w:rPr>
          <w:rFonts w:eastAsiaTheme="majorEastAsia" w:cstheme="majorBidi"/>
          <w:szCs w:val="24"/>
          <w:lang w:val="en-IN"/>
        </w:rPr>
      </w:pPr>
      <w:r w:rsidRPr="004A284E">
        <w:rPr>
          <w:rFonts w:eastAsiaTheme="majorEastAsia" w:cstheme="majorBidi"/>
          <w:b/>
          <w:bCs/>
          <w:szCs w:val="24"/>
          <w:lang w:val="en-IN"/>
        </w:rPr>
        <w:t>PUBLISHED ON:</w:t>
      </w:r>
      <w:r w:rsidRPr="004A284E">
        <w:rPr>
          <w:rFonts w:eastAsiaTheme="majorEastAsia" w:cstheme="majorBidi"/>
          <w:szCs w:val="24"/>
          <w:lang w:val="en-IN"/>
        </w:rPr>
        <w:t xml:space="preserve"> 2021</w:t>
      </w:r>
    </w:p>
    <w:p w:rsidR="004A284E" w:rsidP="004A284E" w14:paraId="4367D21D" w14:textId="5713EFE0">
      <w:pPr>
        <w:spacing w:after="0" w:line="360" w:lineRule="auto"/>
        <w:ind w:left="-142" w:right="-188"/>
        <w:rPr>
          <w:rFonts w:eastAsiaTheme="majorEastAsia" w:cstheme="majorBidi"/>
          <w:szCs w:val="24"/>
          <w:lang w:val="en-IN"/>
        </w:rPr>
      </w:pPr>
      <w:r w:rsidRPr="004A284E">
        <w:rPr>
          <w:rFonts w:eastAsiaTheme="majorEastAsia" w:cstheme="majorBidi"/>
          <w:szCs w:val="24"/>
          <w:lang w:val="en-IN"/>
        </w:rPr>
        <w:t>This paper introduces a formal Attribute-Based Access Control (ABAC) model tailored for securing AWS IoT in smart industrial environments. The model extends the previous AWS-</w:t>
      </w:r>
      <w:r w:rsidRPr="004A284E">
        <w:rPr>
          <w:rFonts w:eastAsiaTheme="majorEastAsia" w:cstheme="majorBidi"/>
          <w:szCs w:val="24"/>
          <w:lang w:val="en-IN"/>
        </w:rPr>
        <w:t>IoTAC</w:t>
      </w:r>
      <w:r w:rsidRPr="004A284E">
        <w:rPr>
          <w:rFonts w:eastAsiaTheme="majorEastAsia" w:cstheme="majorBidi"/>
          <w:szCs w:val="24"/>
          <w:lang w:val="en-IN"/>
        </w:rPr>
        <w:t xml:space="preserve"> (policy-based) framework by enabling fine-grained and flexible access control through attributes defined for users, devices, topics, and virtual entities. The architecture incorporates IoT devices, their digital twins, topic hierarchies, group hierarchies, and MQTT-based communication. The ABAC model supports real-time authorization using AWS Greengrass and Lambda as enforcement and decision points. A smart oil refinery use case is implemented to demonstrate policy inheritance, attribute mapping, and secure device-to-device communication. Experimental results show the model’s scalability and real-world feasibility for industries of the future, ensuring dynamic policy enforcement and resistance to unauthorized access in cloud-enabled IoT systems.</w:t>
      </w:r>
    </w:p>
    <w:p w:rsidR="004A284E" w:rsidRPr="008A40D9" w:rsidP="004A284E" w14:paraId="32E64868" w14:textId="77777777">
      <w:pPr>
        <w:spacing w:after="0" w:line="360" w:lineRule="auto"/>
        <w:ind w:left="-142" w:right="-188"/>
        <w:rPr>
          <w:rFonts w:eastAsiaTheme="majorEastAsia" w:cstheme="majorBidi"/>
          <w:szCs w:val="24"/>
          <w:lang w:val="en-IN"/>
        </w:rPr>
      </w:pPr>
    </w:p>
    <w:p w:rsidR="00960042" w:rsidRPr="00960042" w:rsidP="00960042" w14:paraId="62B4E9E6" w14:textId="77777777">
      <w:pPr>
        <w:spacing w:after="0" w:line="360" w:lineRule="auto"/>
        <w:ind w:left="-142" w:right="-188"/>
        <w:rPr>
          <w:rFonts w:eastAsiaTheme="majorEastAsia" w:cstheme="majorBidi"/>
          <w:b/>
          <w:bCs/>
          <w:sz w:val="28"/>
          <w:szCs w:val="28"/>
          <w:lang w:val="en-IN"/>
        </w:rPr>
      </w:pPr>
      <w:r w:rsidRPr="00983635">
        <w:rPr>
          <w:rFonts w:eastAsiaTheme="majorEastAsia" w:cstheme="majorBidi"/>
          <w:b/>
          <w:bCs/>
          <w:sz w:val="28"/>
          <w:szCs w:val="28"/>
          <w:lang w:val="en-IN"/>
        </w:rPr>
        <w:t>2.</w:t>
      </w:r>
      <w:r w:rsidR="00F65CC9">
        <w:rPr>
          <w:rFonts w:eastAsiaTheme="majorEastAsia" w:cstheme="majorBidi"/>
          <w:b/>
          <w:bCs/>
          <w:sz w:val="28"/>
          <w:szCs w:val="28"/>
          <w:lang w:val="en-IN"/>
        </w:rPr>
        <w:t>6</w:t>
      </w:r>
      <w:r w:rsidRPr="00983635">
        <w:rPr>
          <w:rFonts w:eastAsiaTheme="majorEastAsia" w:cstheme="majorBidi"/>
          <w:b/>
          <w:bCs/>
          <w:sz w:val="28"/>
          <w:szCs w:val="28"/>
          <w:lang w:val="en-IN"/>
        </w:rPr>
        <w:t xml:space="preserve"> JS</w:t>
      </w:r>
      <w:r w:rsidRPr="00960042">
        <w:rPr>
          <w:rFonts w:eastAsiaTheme="majorEastAsia" w:cstheme="majorBidi"/>
          <w:b/>
          <w:bCs/>
          <w:sz w:val="28"/>
          <w:szCs w:val="28"/>
          <w:lang w:val="en-IN"/>
        </w:rPr>
        <w:t>2.6 JSON Web Token Penetration Testing on Cookie Storage with CSRF Techniques</w:t>
      </w:r>
    </w:p>
    <w:p w:rsidR="00960042" w:rsidRPr="008A40D9" w:rsidP="00960042" w14:paraId="68D82D0F" w14:textId="2E1DEE71">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AUTHORS:</w:t>
      </w:r>
      <w:r w:rsidRPr="008A40D9">
        <w:rPr>
          <w:rFonts w:eastAsiaTheme="majorEastAsia" w:cstheme="majorBidi"/>
          <w:szCs w:val="24"/>
          <w:lang w:val="en-IN"/>
        </w:rPr>
        <w:t xml:space="preserve"> Irfan Darmawan; </w:t>
      </w:r>
      <w:r w:rsidRPr="008A40D9">
        <w:rPr>
          <w:rFonts w:eastAsiaTheme="majorEastAsia" w:cstheme="majorBidi"/>
          <w:szCs w:val="24"/>
          <w:lang w:val="en-IN"/>
        </w:rPr>
        <w:t>Rohmat</w:t>
      </w:r>
      <w:r w:rsidRPr="008A40D9">
        <w:rPr>
          <w:rFonts w:eastAsiaTheme="majorEastAsia" w:cstheme="majorBidi"/>
          <w:szCs w:val="24"/>
          <w:lang w:val="en-IN"/>
        </w:rPr>
        <w:t xml:space="preserve"> Gunawan; Aditya </w:t>
      </w:r>
      <w:r w:rsidRPr="008A40D9">
        <w:rPr>
          <w:rFonts w:eastAsiaTheme="majorEastAsia" w:cstheme="majorBidi"/>
          <w:szCs w:val="24"/>
          <w:lang w:val="en-IN"/>
        </w:rPr>
        <w:t>Pratama</w:t>
      </w:r>
      <w:r w:rsidRPr="008A40D9">
        <w:rPr>
          <w:rFonts w:eastAsiaTheme="majorEastAsia" w:cstheme="majorBidi"/>
          <w:szCs w:val="24"/>
          <w:lang w:val="en-IN"/>
        </w:rPr>
        <w:t xml:space="preserve"> Abdul Karim; Dita </w:t>
      </w:r>
      <w:r w:rsidRPr="008A40D9">
        <w:rPr>
          <w:rFonts w:eastAsiaTheme="majorEastAsia" w:cstheme="majorBidi"/>
          <w:szCs w:val="24"/>
          <w:lang w:val="en-IN"/>
        </w:rPr>
        <w:t>Pramesti</w:t>
      </w:r>
      <w:r w:rsidRPr="008A40D9">
        <w:rPr>
          <w:rFonts w:eastAsiaTheme="majorEastAsia" w:cstheme="majorBidi"/>
          <w:szCs w:val="24"/>
          <w:lang w:val="en-IN"/>
        </w:rPr>
        <w:t xml:space="preserve">; </w:t>
      </w:r>
      <w:r w:rsidRPr="008A40D9">
        <w:rPr>
          <w:rFonts w:eastAsiaTheme="majorEastAsia" w:cstheme="majorBidi"/>
          <w:szCs w:val="24"/>
          <w:lang w:val="en-IN"/>
        </w:rPr>
        <w:t>Alam</w:t>
      </w:r>
      <w:r w:rsidRPr="008A40D9">
        <w:rPr>
          <w:rFonts w:eastAsiaTheme="majorEastAsia" w:cstheme="majorBidi"/>
          <w:szCs w:val="24"/>
          <w:lang w:val="en-IN"/>
        </w:rPr>
        <w:t xml:space="preserve"> </w:t>
      </w:r>
      <w:r w:rsidRPr="008A40D9">
        <w:rPr>
          <w:rFonts w:eastAsiaTheme="majorEastAsia" w:cstheme="majorBidi"/>
          <w:szCs w:val="24"/>
          <w:lang w:val="en-IN"/>
        </w:rPr>
        <w:t>Rahmatulloh</w:t>
      </w:r>
    </w:p>
    <w:p w:rsidR="00960042" w:rsidRPr="008A40D9" w:rsidP="00960042" w14:paraId="2E99CBE3" w14:textId="05F1F3AD">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2021</w:t>
      </w:r>
    </w:p>
    <w:p w:rsidR="008A40D9" w:rsidP="00960042" w14:paraId="2215132D" w14:textId="77777777">
      <w:pPr>
        <w:spacing w:after="0" w:line="360" w:lineRule="auto"/>
        <w:ind w:left="-142" w:right="-188"/>
        <w:rPr>
          <w:rFonts w:eastAsiaTheme="majorEastAsia" w:cstheme="majorBidi"/>
          <w:b/>
          <w:bCs/>
          <w:sz w:val="28"/>
          <w:szCs w:val="28"/>
          <w:lang w:val="en-IN"/>
        </w:rPr>
      </w:pPr>
      <w:r w:rsidRPr="008A40D9">
        <w:rPr>
          <w:rFonts w:eastAsiaTheme="majorEastAsia" w:cstheme="majorBidi"/>
          <w:szCs w:val="24"/>
          <w:lang w:val="en-IN"/>
        </w:rPr>
        <w:t xml:space="preserve">This study investigates the security vulnerabilities of JSON Web Tokens (JWT) when stored in browser cookies and subjected to Cross-Site Request Forgery (CSRF) attacks. The authors design a penetration testing framework to demonstrate how attackers can exploit cookies that lack the </w:t>
      </w:r>
      <w:r w:rsidRPr="008A40D9">
        <w:rPr>
          <w:rFonts w:eastAsiaTheme="majorEastAsia" w:cstheme="majorBidi"/>
          <w:szCs w:val="24"/>
          <w:lang w:val="en-IN"/>
        </w:rPr>
        <w:t>HttpOnly</w:t>
      </w:r>
      <w:r w:rsidRPr="008A40D9">
        <w:rPr>
          <w:rFonts w:eastAsiaTheme="majorEastAsia" w:cstheme="majorBidi"/>
          <w:szCs w:val="24"/>
          <w:lang w:val="en-IN"/>
        </w:rPr>
        <w:t xml:space="preserve"> flag. Using tools such as OWASP Juice Shop, Burp Suite, and </w:t>
      </w:r>
      <w:r w:rsidRPr="008A40D9">
        <w:rPr>
          <w:rFonts w:eastAsiaTheme="majorEastAsia" w:cstheme="majorBidi"/>
          <w:szCs w:val="24"/>
          <w:lang w:val="en-IN"/>
        </w:rPr>
        <w:t>Hashcat</w:t>
      </w:r>
      <w:r w:rsidRPr="008A40D9">
        <w:rPr>
          <w:rFonts w:eastAsiaTheme="majorEastAsia" w:cstheme="majorBidi"/>
          <w:szCs w:val="24"/>
          <w:lang w:val="en-IN"/>
        </w:rPr>
        <w:t xml:space="preserve"> in a Docker-based virtual lab, they simulate man-in-the-middle attacks to intercept and manipulate HTTP requests. The findings reveal that JWT tokens stored in cookies with </w:t>
      </w:r>
      <w:r w:rsidRPr="008A40D9">
        <w:rPr>
          <w:rFonts w:eastAsiaTheme="majorEastAsia" w:cstheme="majorBidi"/>
          <w:szCs w:val="24"/>
          <w:lang w:val="en-IN"/>
        </w:rPr>
        <w:t>HttpOnly</w:t>
      </w:r>
      <w:r w:rsidRPr="008A40D9">
        <w:rPr>
          <w:rFonts w:eastAsiaTheme="majorEastAsia" w:cstheme="majorBidi"/>
          <w:szCs w:val="24"/>
          <w:lang w:val="en-IN"/>
        </w:rPr>
        <w:t xml:space="preserve">: false can be accessed and exploited via JavaScript to forge authenticated requests. This results in unauthorized access and complete takeover of victim accounts. The study concludes that although JWT offers stateless and secure authentication, improper implementation—especially in token storage—can expose applications to severe threats. Recommendations include enforcing </w:t>
      </w:r>
      <w:r w:rsidRPr="008A40D9">
        <w:rPr>
          <w:rFonts w:eastAsiaTheme="majorEastAsia" w:cstheme="majorBidi"/>
          <w:szCs w:val="24"/>
          <w:lang w:val="en-IN"/>
        </w:rPr>
        <w:t>HttpOnly</w:t>
      </w:r>
      <w:r w:rsidRPr="008A40D9">
        <w:rPr>
          <w:rFonts w:eastAsiaTheme="majorEastAsia" w:cstheme="majorBidi"/>
          <w:szCs w:val="24"/>
          <w:lang w:val="en-IN"/>
        </w:rPr>
        <w:t xml:space="preserve"> flags and rigorous CSRF protections in JWT-based systems</w:t>
      </w:r>
      <w:r w:rsidRPr="008A40D9">
        <w:rPr>
          <w:rFonts w:eastAsiaTheme="majorEastAsia" w:cstheme="majorBidi"/>
          <w:sz w:val="28"/>
          <w:szCs w:val="28"/>
          <w:lang w:val="en-IN"/>
        </w:rPr>
        <w:t>.</w:t>
      </w:r>
    </w:p>
    <w:p w:rsidR="008A40D9" w:rsidP="00960042" w14:paraId="54DFCDF1" w14:textId="77777777">
      <w:pPr>
        <w:spacing w:after="0" w:line="360" w:lineRule="auto"/>
        <w:ind w:left="-142" w:right="-188"/>
        <w:rPr>
          <w:rFonts w:eastAsiaTheme="majorEastAsia" w:cstheme="majorBidi"/>
          <w:b/>
          <w:bCs/>
          <w:sz w:val="28"/>
          <w:szCs w:val="28"/>
          <w:lang w:val="en-IN"/>
        </w:rPr>
      </w:pPr>
    </w:p>
    <w:sectPr>
      <w:headerReference w:type="default" r:id="rId6"/>
      <w:footerReference w:type="default" r:id="rId7"/>
      <w:pgSz w:w="11906" w:h="16838"/>
      <w:pgMar w:top="1440" w:right="1440" w:bottom="1440" w:left="1440" w:header="720" w:footer="720" w:gutter="0"/>
      <w:pgNumType w:start="4"/>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665FA6D3" w14:textId="77777777">
    <w:pPr>
      <w:pStyle w:val="Footer"/>
      <w:tabs>
        <w:tab w:val="left" w:pos="408"/>
        <w:tab w:val="center" w:pos="4513"/>
        <w:tab w:val="right" w:pos="9026"/>
        <w:tab w:val="clear" w:pos="9360"/>
      </w:tabs>
      <w:jc w:val="left"/>
      <w:rPr>
        <w:rFonts w:cs="Times New Roman"/>
        <w:sz w:val="22"/>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posOffset>-129540</wp:posOffset>
              </wp:positionH>
              <wp:positionV relativeFrom="page">
                <wp:posOffset>9801860</wp:posOffset>
              </wp:positionV>
              <wp:extent cx="5982335" cy="55245"/>
              <wp:effectExtent l="0" t="0" r="0" b="1905"/>
              <wp:wrapNone/>
              <wp:docPr id="2131355760"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50" style="width:471.05pt;height:4.35pt;margin-top:771.8pt;margin-left:-10.2pt;mso-height-relative:page;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sdt>
      <w:sdtPr>
        <w:id w:val="604166340"/>
        <w:docPartObj>
          <w:docPartGallery w:val="AutoText"/>
        </w:docPartObj>
      </w:sdtPr>
      <w:sdtContent>
        <w:r>
          <w:rPr>
            <w:rFonts w:cs="Times New Roman"/>
          </w:rPr>
          <w:t xml:space="preserve">Dept. of </w:t>
        </w:r>
        <w:r>
          <w:rPr>
            <w:rFonts w:cs="Times New Roman"/>
          </w:rPr>
          <w:t>CSE, MVJCE</w:t>
        </w:r>
        <w:r>
          <w:tab/>
        </w:r>
        <w:r>
          <w:fldChar w:fldCharType="begin"/>
        </w:r>
        <w:r>
          <w:instrText xml:space="preserve"> PAGE   \* MERGEFORMAT </w:instrText>
        </w:r>
        <w:r>
          <w:fldChar w:fldCharType="separate"/>
        </w:r>
        <w:r>
          <w:t>19</w:t>
        </w:r>
        <w:r>
          <w:fldChar w:fldCharType="end"/>
        </w:r>
      </w:sdtContent>
    </w:sdt>
    <w:r>
      <w:tab/>
    </w:r>
    <w:r>
      <w:tab/>
      <w:t xml:space="preserve">   </w:t>
    </w:r>
    <w:r>
      <w:rPr>
        <w:rFonts w:cs="Times New Roman"/>
      </w:rPr>
      <w:t>2024 – 2025</w:t>
    </w:r>
  </w:p>
  <w:p w:rsidR="0070008A" w14:paraId="7E8FE58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4A9EB3A7" w14:textId="77777777">
    <w:pPr>
      <w:pStyle w:val="Header"/>
      <w:rPr>
        <w:rFonts w:cs="Times New Roman"/>
        <w:szCs w:val="24"/>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align>center</wp:align>
              </wp:positionH>
              <wp:positionV relativeFrom="page">
                <wp:posOffset>678180</wp:posOffset>
              </wp:positionV>
              <wp:extent cx="5982335" cy="55245"/>
              <wp:effectExtent l="0" t="0" r="0" b="1905"/>
              <wp:wrapNone/>
              <wp:docPr id="815802919"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49" style="width:471.05pt;height:4.35pt;margin-top:53.4pt;margin-left:0;mso-height-relative:page;mso-position-horizontal:center;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r>
      <w:rPr>
        <w:rFonts w:cs="Times New Roman"/>
        <w:szCs w:val="24"/>
      </w:rPr>
      <w:t>HAZARD WASTE DETECTION USING AI AND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