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8A40D9" w:rsidRPr="008A40D9" w:rsidP="008A40D9" w14:paraId="71682EB9" w14:textId="77777777">
      <w:pPr>
        <w:spacing w:before="0"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2.7 Developing Complex Full Stack Java-Based Spring Cloud Applications</w:t>
      </w:r>
    </w:p>
    <w:p w:rsidR="008A40D9" w:rsidRPr="008A40D9" w:rsidP="008A40D9" w14:paraId="4A65095F" w14:textId="25F00E06">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Pranav Srusti; Prof. (</w:t>
      </w:r>
      <w:r w:rsidRPr="008A40D9">
        <w:rPr>
          <w:rFonts w:eastAsiaTheme="majorEastAsia" w:cstheme="majorBidi"/>
          <w:szCs w:val="24"/>
          <w:lang w:val="en-IN"/>
        </w:rPr>
        <w:t>Dr.</w:t>
      </w:r>
      <w:r w:rsidRPr="008A40D9">
        <w:rPr>
          <w:rFonts w:eastAsiaTheme="majorEastAsia" w:cstheme="majorBidi"/>
          <w:szCs w:val="24"/>
          <w:lang w:val="en-IN"/>
        </w:rPr>
        <w:t xml:space="preserve">) Siddharth </w:t>
      </w:r>
      <w:r w:rsidRPr="008A40D9">
        <w:rPr>
          <w:rFonts w:eastAsiaTheme="majorEastAsia" w:cstheme="majorBidi"/>
          <w:szCs w:val="24"/>
          <w:lang w:val="en-IN"/>
        </w:rPr>
        <w:t>Bhorge</w:t>
      </w:r>
    </w:p>
    <w:p w:rsidR="008A40D9" w:rsidRPr="008A40D9" w:rsidP="008A40D9" w14:paraId="3319E741" w14:textId="1493C1E1">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w:t>
      </w:r>
      <w:r w:rsidR="004A284E">
        <w:rPr>
          <w:rFonts w:eastAsiaTheme="majorEastAsia" w:cstheme="majorBidi"/>
          <w:szCs w:val="24"/>
          <w:lang w:val="en-IN"/>
        </w:rPr>
        <w:t>2</w:t>
      </w:r>
    </w:p>
    <w:p w:rsidR="008A40D9" w:rsidRPr="008A40D9" w:rsidP="008A40D9" w14:paraId="03C973D8"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paper presents the development and deployment of an enterprise-grade full stack Java-based application using Spring Boot and Spring Cloud. The system integrates multiple technologies including Maven, Jenkins, GitHub, POSTMAN, JavaScript, and AWS for backend services and cloud hosting. The backend is built using Spring MVC architecture, enabling loose coupling through dependency injection and separation of concerns across controller, service, and repository layers. The frontend is powered by HTML, CSS, and JavaScript, which consume RESTful APIs through AJAX calls. The application is deployed on AWS using services like EC2, S3, CloudWatch, and SNS, with continuous integration managed via Jenkins. The Scrum framework is applied for project management, emphasizing agile methodologies to improve development efficiency and stakeholder engagement. The study emphasizes best practices in code management, deployment pipelines, and cloud-native application architecture to meet real-world enterprise demands.</w:t>
      </w:r>
    </w:p>
    <w:p w:rsidR="008A40D9" w:rsidRPr="008A40D9" w:rsidP="008A40D9" w14:paraId="626DE707" w14:textId="77777777">
      <w:pPr>
        <w:spacing w:after="0" w:line="360" w:lineRule="auto"/>
        <w:ind w:left="-142" w:right="-188"/>
        <w:rPr>
          <w:rFonts w:eastAsiaTheme="majorEastAsia" w:cstheme="majorBidi"/>
          <w:b/>
          <w:bCs/>
          <w:sz w:val="28"/>
          <w:szCs w:val="28"/>
          <w:lang w:val="en-IN"/>
        </w:rPr>
      </w:pPr>
    </w:p>
    <w:p w:rsidR="008A40D9" w:rsidRPr="008A40D9" w:rsidP="008A40D9" w14:paraId="2D44F546" w14:textId="77777777">
      <w:pPr>
        <w:spacing w:after="0" w:line="360" w:lineRule="auto"/>
        <w:ind w:left="-142" w:right="-188"/>
        <w:rPr>
          <w:rFonts w:eastAsiaTheme="majorEastAsia" w:cstheme="majorBidi"/>
          <w:b/>
          <w:bCs/>
          <w:sz w:val="28"/>
          <w:szCs w:val="28"/>
          <w:lang w:val="en-IN"/>
        </w:rPr>
      </w:pPr>
      <w:r w:rsidRPr="008A40D9">
        <w:rPr>
          <w:rFonts w:eastAsiaTheme="majorEastAsia" w:cstheme="majorBidi"/>
          <w:b/>
          <w:bCs/>
          <w:sz w:val="28"/>
          <w:szCs w:val="28"/>
          <w:lang w:val="en-IN"/>
        </w:rPr>
        <w:t>2.8 Hybrid Network Security Model for Small and Mid-Sized Enterprises</w:t>
      </w:r>
    </w:p>
    <w:p w:rsidR="008A40D9" w:rsidRPr="008A40D9" w:rsidP="008A40D9" w14:paraId="27506E73" w14:textId="1DDEF1D0">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AUTHORS:</w:t>
      </w:r>
      <w:r w:rsidRPr="008A40D9">
        <w:rPr>
          <w:rFonts w:eastAsiaTheme="majorEastAsia" w:cstheme="majorBidi"/>
          <w:szCs w:val="24"/>
          <w:lang w:val="en-IN"/>
        </w:rPr>
        <w:t xml:space="preserve"> Vaishak Sreejith; </w:t>
      </w:r>
      <w:r w:rsidRPr="008A40D9">
        <w:rPr>
          <w:rFonts w:eastAsiaTheme="majorEastAsia" w:cstheme="majorBidi"/>
          <w:szCs w:val="24"/>
          <w:lang w:val="en-IN"/>
        </w:rPr>
        <w:t>Dr.</w:t>
      </w:r>
      <w:r w:rsidRPr="008A40D9">
        <w:rPr>
          <w:rFonts w:eastAsiaTheme="majorEastAsia" w:cstheme="majorBidi"/>
          <w:szCs w:val="24"/>
          <w:lang w:val="en-IN"/>
        </w:rPr>
        <w:t xml:space="preserve"> Sakthi Abirami Balakrishnan; </w:t>
      </w:r>
      <w:r w:rsidRPr="008A40D9">
        <w:rPr>
          <w:rFonts w:eastAsiaTheme="majorEastAsia" w:cstheme="majorBidi"/>
          <w:szCs w:val="24"/>
          <w:lang w:val="en-IN"/>
        </w:rPr>
        <w:t>Pudukaram</w:t>
      </w:r>
      <w:r w:rsidRPr="008A40D9">
        <w:rPr>
          <w:rFonts w:eastAsiaTheme="majorEastAsia" w:cstheme="majorBidi"/>
          <w:szCs w:val="24"/>
          <w:lang w:val="en-IN"/>
        </w:rPr>
        <w:t xml:space="preserve"> Urjith Reddy; Bandari Harshith Rao</w:t>
      </w:r>
    </w:p>
    <w:p w:rsidR="008A40D9" w:rsidRPr="008A40D9" w:rsidP="008A40D9" w14:paraId="39F4A775" w14:textId="69D14F5F">
      <w:pPr>
        <w:spacing w:after="0" w:line="360" w:lineRule="auto"/>
        <w:ind w:left="-142" w:right="-188"/>
        <w:rPr>
          <w:rFonts w:eastAsiaTheme="majorEastAsia" w:cstheme="majorBidi"/>
          <w:szCs w:val="24"/>
          <w:lang w:val="en-IN"/>
        </w:rPr>
      </w:pPr>
      <w:r w:rsidRPr="008A40D9">
        <w:rPr>
          <w:rFonts w:eastAsiaTheme="majorEastAsia" w:cstheme="majorBidi"/>
          <w:b/>
          <w:bCs/>
          <w:szCs w:val="24"/>
          <w:lang w:val="en-IN"/>
        </w:rPr>
        <w:t>PUBLISHED ON:</w:t>
      </w:r>
      <w:r w:rsidRPr="008A40D9">
        <w:rPr>
          <w:rFonts w:eastAsiaTheme="majorEastAsia" w:cstheme="majorBidi"/>
          <w:szCs w:val="24"/>
          <w:lang w:val="en-IN"/>
        </w:rPr>
        <w:t xml:space="preserve"> 2022</w:t>
      </w:r>
    </w:p>
    <w:p w:rsidR="008A40D9" w:rsidRPr="008A40D9" w:rsidP="008A40D9" w14:paraId="79C8F4EA" w14:textId="77777777">
      <w:pPr>
        <w:spacing w:after="0" w:line="360" w:lineRule="auto"/>
        <w:ind w:left="-142" w:right="-188"/>
        <w:rPr>
          <w:rFonts w:eastAsiaTheme="majorEastAsia" w:cstheme="majorBidi"/>
          <w:szCs w:val="24"/>
          <w:lang w:val="en-IN"/>
        </w:rPr>
      </w:pPr>
      <w:r w:rsidRPr="008A40D9">
        <w:rPr>
          <w:rFonts w:eastAsiaTheme="majorEastAsia" w:cstheme="majorBidi"/>
          <w:szCs w:val="24"/>
          <w:lang w:val="en-IN"/>
        </w:rPr>
        <w:t>This paper proposes a hybrid network security model tailored for small and mid-sized enterprises (SMEs), combining principles from classic security models such as Bell-LaPadula, Biba, Clark-Wilson, and Role-Based Access Control (RBAC). SMEs, often lacking robust IT infrastructure and budgets, are more vulnerable to cyber threats. The proposed model introduces two access mechanisms: user access with predefined permissions, and service access with temporary elevated privileges. The system integrates VLANs to enforce policy-based grouping and transformation verification processes inspired by Clark-Wilson to strengthen access controls. Additionally, the model is optimized for cloud adoption, aligning with AWS Identity and Access Management (IAM) standards to ensure compatibility and ease of migration. Experimental evaluations demonstrate that the hybrid model outperforms conventional security models in terms of confidentiality, integrity, and availability, providing a balanced solution for scalable, secure, and cloud-ready network management in SME environments.</w:t>
      </w:r>
    </w:p>
    <w:p w:rsidR="008A40D9" w:rsidRPr="008A40D9" w:rsidP="008A40D9" w14:paraId="2D68A4CD" w14:textId="77777777">
      <w:pPr>
        <w:spacing w:after="0" w:line="360" w:lineRule="auto"/>
        <w:ind w:left="-142" w:right="-188"/>
        <w:rPr>
          <w:rFonts w:eastAsiaTheme="majorEastAsia" w:cstheme="majorBidi"/>
          <w:b/>
          <w:bCs/>
          <w:sz w:val="28"/>
          <w:szCs w:val="28"/>
          <w:lang w:val="en-IN"/>
        </w:rPr>
      </w:pPr>
    </w:p>
    <w:sectPr>
      <w:headerReference w:type="default" r:id="rId6"/>
      <w:footerReference w:type="default" r:id="rId7"/>
      <w:pgSz w:w="11906" w:h="16838"/>
      <w:pgMar w:top="1440" w:right="1440" w:bottom="1440" w:left="1440" w:header="720" w:footer="720" w:gutter="0"/>
      <w:pgNumType w:start="5"/>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665FA6D3" w14:textId="77777777">
    <w:pPr>
      <w:pStyle w:val="Footer"/>
      <w:tabs>
        <w:tab w:val="left" w:pos="408"/>
        <w:tab w:val="center" w:pos="4513"/>
        <w:tab w:val="right" w:pos="9026"/>
        <w:tab w:val="clear" w:pos="9360"/>
      </w:tabs>
      <w:jc w:val="left"/>
      <w:rPr>
        <w:rFonts w:cs="Times New Roman"/>
        <w:sz w:val="22"/>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posOffset>-129540</wp:posOffset>
              </wp:positionH>
              <wp:positionV relativeFrom="page">
                <wp:posOffset>9801860</wp:posOffset>
              </wp:positionV>
              <wp:extent cx="5982335" cy="55245"/>
              <wp:effectExtent l="0" t="0" r="0" b="1905"/>
              <wp:wrapNone/>
              <wp:docPr id="2131355760"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50" style="width:471.05pt;height:4.35pt;margin-top:771.8pt;margin-left:-10.2pt;mso-height-relative:page;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sdt>
      <w:sdtPr>
        <w:id w:val="869323058"/>
        <w:docPartObj>
          <w:docPartGallery w:val="AutoText"/>
        </w:docPartObj>
      </w:sdtPr>
      <w:sdtContent>
        <w:r>
          <w:rPr>
            <w:rFonts w:cs="Times New Roman"/>
          </w:rPr>
          <w:t xml:space="preserve">Dept. of </w:t>
        </w:r>
        <w:r>
          <w:rPr>
            <w:rFonts w:cs="Times New Roman"/>
          </w:rPr>
          <w:t>CSE, MVJCE</w:t>
        </w:r>
        <w:r>
          <w:tab/>
        </w:r>
        <w:r>
          <w:fldChar w:fldCharType="begin"/>
        </w:r>
        <w:r>
          <w:instrText xml:space="preserve"> PAGE   \* MERGEFORMAT </w:instrText>
        </w:r>
        <w:r>
          <w:fldChar w:fldCharType="separate"/>
        </w:r>
        <w:r>
          <w:t>19</w:t>
        </w:r>
        <w:r>
          <w:fldChar w:fldCharType="end"/>
        </w:r>
      </w:sdtContent>
    </w:sdt>
    <w:r>
      <w:tab/>
    </w:r>
    <w:r>
      <w:tab/>
      <w:t xml:space="preserve">   </w:t>
    </w:r>
    <w:r>
      <w:rPr>
        <w:rFonts w:cs="Times New Roman"/>
      </w:rPr>
      <w:t>2024 – 2025</w:t>
    </w:r>
  </w:p>
  <w:p w:rsidR="0070008A" w14:paraId="7E8FE582"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4A9EB3A7" w14:textId="77777777">
    <w:pPr>
      <w:pStyle w:val="Header"/>
      <w:rPr>
        <w:rFonts w:cs="Times New Roman"/>
        <w:szCs w:val="24"/>
      </w:rPr>
    </w:pPr>
    <w:r>
      <w:rPr>
        <w:rFonts w:cs="Times New Roman"/>
        <w:noProof/>
        <w:szCs w:val="24"/>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ge">
                <wp:posOffset>678180</wp:posOffset>
              </wp:positionV>
              <wp:extent cx="5982335" cy="55245"/>
              <wp:effectExtent l="0" t="0" r="0" b="1905"/>
              <wp:wrapNone/>
              <wp:docPr id="815802919" name="Freeform: Shape 1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5982335" cy="55245"/>
                      </a:xfrm>
                      <a:custGeom>
                        <a:avLst/>
                        <a:gdLst>
                          <a:gd name="T0" fmla="+- 0 10833 1412"/>
                          <a:gd name="T1" fmla="*/ T0 w 9421"/>
                          <a:gd name="T2" fmla="+- 0 1037 1008"/>
                          <a:gd name="T3" fmla="*/ 1037 h 87"/>
                          <a:gd name="T4" fmla="+- 0 1412 1412"/>
                          <a:gd name="T5" fmla="*/ T4 w 9421"/>
                          <a:gd name="T6" fmla="+- 0 1037 1008"/>
                          <a:gd name="T7" fmla="*/ 1037 h 87"/>
                          <a:gd name="T8" fmla="+- 0 1412 1412"/>
                          <a:gd name="T9" fmla="*/ T8 w 9421"/>
                          <a:gd name="T10" fmla="+- 0 1095 1008"/>
                          <a:gd name="T11" fmla="*/ 1095 h 87"/>
                          <a:gd name="T12" fmla="+- 0 10833 1412"/>
                          <a:gd name="T13" fmla="*/ T12 w 9421"/>
                          <a:gd name="T14" fmla="+- 0 1095 1008"/>
                          <a:gd name="T15" fmla="*/ 1095 h 87"/>
                          <a:gd name="T16" fmla="+- 0 10833 1412"/>
                          <a:gd name="T17" fmla="*/ T16 w 9421"/>
                          <a:gd name="T18" fmla="+- 0 1037 1008"/>
                          <a:gd name="T19" fmla="*/ 1037 h 87"/>
                          <a:gd name="T20" fmla="+- 0 10833 1412"/>
                          <a:gd name="T21" fmla="*/ T20 w 9421"/>
                          <a:gd name="T22" fmla="+- 0 1008 1008"/>
                          <a:gd name="T23" fmla="*/ 1008 h 87"/>
                          <a:gd name="T24" fmla="+- 0 1412 1412"/>
                          <a:gd name="T25" fmla="*/ T24 w 9421"/>
                          <a:gd name="T26" fmla="+- 0 1008 1008"/>
                          <a:gd name="T27" fmla="*/ 1008 h 87"/>
                          <a:gd name="T28" fmla="+- 0 1412 1412"/>
                          <a:gd name="T29" fmla="*/ T28 w 9421"/>
                          <a:gd name="T30" fmla="+- 0 1023 1008"/>
                          <a:gd name="T31" fmla="*/ 1023 h 87"/>
                          <a:gd name="T32" fmla="+- 0 10833 1412"/>
                          <a:gd name="T33" fmla="*/ T32 w 9421"/>
                          <a:gd name="T34" fmla="+- 0 1023 1008"/>
                          <a:gd name="T35" fmla="*/ 1023 h 87"/>
                          <a:gd name="T36" fmla="+- 0 10833 1412"/>
                          <a:gd name="T37" fmla="*/ T36 w 9421"/>
                          <a:gd name="T38" fmla="+- 0 1008 1008"/>
                          <a:gd name="T39" fmla="*/ 1008 h 8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fill="norm" h="87" w="9421" stroke="1">
                            <a:moveTo>
                              <a:pt x="9421" y="29"/>
                            </a:moveTo>
                            <a:lnTo>
                              <a:pt x="0" y="29"/>
                            </a:lnTo>
                            <a:lnTo>
                              <a:pt x="0" y="87"/>
                            </a:lnTo>
                            <a:lnTo>
                              <a:pt x="9421" y="87"/>
                            </a:lnTo>
                            <a:lnTo>
                              <a:pt x="9421" y="29"/>
                            </a:lnTo>
                            <a:close/>
                            <a:moveTo>
                              <a:pt x="9421" y="0"/>
                            </a:moveTo>
                            <a:lnTo>
                              <a:pt x="0" y="0"/>
                            </a:lnTo>
                            <a:lnTo>
                              <a:pt x="0" y="15"/>
                            </a:lnTo>
                            <a:lnTo>
                              <a:pt x="9421" y="15"/>
                            </a:lnTo>
                            <a:lnTo>
                              <a:pt x="9421" y="0"/>
                            </a:lnTo>
                            <a:close/>
                          </a:path>
                        </a:pathLst>
                      </a:custGeom>
                      <a:solidFill>
                        <a:schemeClr val="tx1"/>
                      </a:solidFill>
                      <a:ln>
                        <a:noFill/>
                      </a:ln>
                    </wps:spPr>
                    <wps:bodyPr rot="0" vert="horz" wrap="square" lIns="91440" tIns="45720" rIns="91440" bIns="45720" anchor="t" anchorCtr="0" upright="1"/>
                  </wps:wsp>
                </a:graphicData>
              </a:graphic>
            </wp:anchor>
          </w:drawing>
        </mc:Choice>
        <mc:Fallback>
          <w:pict>
            <v:shape id="Freeform: Shape 12" o:spid="_x0000_s2049" style="width:471.05pt;height:4.35pt;margin-top:53.4pt;margin-left:0;mso-height-relative:page;mso-position-horizontal:center;mso-position-horizontal-relative:margin;mso-position-vertical-relative:page;mso-width-relative:page;position:absolute;z-index:-251657216" coordsize="9421,87" o:spt="100" adj="-11796480,,5400" path="m9421,29l,29,,87,9421,87,9421,29xm9421,l,,,15,9421,15,9421,xe" filled="t" fillcolor="black" stroked="f">
              <v:stroke joinstyle="miter"/>
              <v:path o:connecttype="custom" o:connectlocs="5982335,658495;0,658495;0,695325;5982335,695325;5982335,658495;5982335,640080;0,640080;0,649605;5982335,649605;5982335,640080" o:connectangles="0,0,0,0,0,0,0,0,0,0"/>
              <o:lock v:ext="edit" aspectratio="f"/>
              <w10:wrap anchorx="margin"/>
            </v:shape>
          </w:pict>
        </mc:Fallback>
      </mc:AlternateContent>
    </w:r>
    <w:r>
      <w:rPr>
        <w:rFonts w:cs="Times New Roman"/>
        <w:szCs w:val="24"/>
      </w:rPr>
      <w:t>HAZARD WASTE DETECTION USING AI AND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