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A4D"/>
          <w:sz w:val="44"/>
          <w:szCs w:val="44"/>
        </w:rPr>
        <w:t xml:space="preserve">CREDIT RISK &amp; PORTFOLIO MONITORING</w:t>
      </w:r>
    </w:p>
    <w:p>
      <w:pPr>
        <w:spacing w:after="100"/>
        <w:jc w:val="center"/>
      </w:pPr>
      <w:r>
        <w:rPr>
          <w:b/>
          <w:bCs/>
          <w:color w:val="B8860B"/>
          <w:sz w:val="26"/>
          <w:szCs w:val="26"/>
        </w:rPr>
        <w:t xml:space="preserve">A Case Study in SQL-Driven Credit Risk Analysis and Power BI Reporting</w:t>
      </w:r>
    </w:p>
    <w:p>
      <w:pPr>
        <w:spacing w:after="40"/>
        <w:jc w:val="center"/>
      </w:pPr>
      <w:r>
        <w:rPr>
          <w:sz w:val="22"/>
          <w:szCs w:val="22"/>
        </w:rPr>
        <w:t xml:space="preserve">Author: Akash Kaliramna</w:t>
      </w:r>
    </w:p>
    <w:p>
      <w:pPr>
        <w:spacing w:after="600"/>
        <w:jc w:val="center"/>
      </w:pPr>
      <w:r>
        <w:rPr>
          <w:sz w:val="22"/>
          <w:szCs w:val="22"/>
        </w:rPr>
        <w:t xml:space="preserve">Tools: MySQL · Advanced SQL · Power BI · DAX</w:t>
      </w:r>
    </w:p>
    <w:p>
      <w:r>
        <w:br w:type="page"/>
      </w:r>
    </w:p>
    <w:p>
      <w:pPr>
        <w:pStyle w:val="Heading1"/>
        <w:spacing w:after="200" w:before="400"/>
      </w:pPr>
      <w:r>
        <w:t xml:space="preserve">1. Project Overview</w:t>
      </w:r>
    </w:p>
    <w:p>
      <w:pPr>
        <w:spacing w:after="200"/>
      </w:pPr>
      <w:r>
        <w:t xml:space="preserve">For this project I took on the role of a Data Analyst supporting a credit-card issuer's Credit Risk / Portfolio Management team. The bank holds historical data on 30,000 customers — their granted credit, demographics, and six months of billing, payment, and repayment behaviour — and wants to understand where default risk is concentrated across its portfolio before deciding where to focus monitoring and intervention.</w:t>
      </w:r>
    </w:p>
    <w:p>
      <w:pPr>
        <w:spacing w:after="200"/>
      </w:pPr>
      <w:r>
        <w:t xml:space="preserve">I deliberately did not frame this as a machine-learning prediction project. Building a model that scores a new applicant's probability of default is a different problem, one this dataset and timeline weren't set up to answer credibly. Instead, I built an analyst workflow: profile the raw data, engineer behavioural features from the six months of repayment history, test which behaviours actually associate with default, build a defensible risk segmentation from the evidence, and quantify how much money the bank has at stake in each segment.</w:t>
      </w:r>
    </w:p>
    <w:p>
      <w:pPr>
        <w:spacing w:after="200"/>
      </w:pPr>
      <w:r>
        <w:t xml:space="preserve">The core insight the project arrives at is one I'd lead with in an interview: the segment with the highest probability of default is not the segment carrying the largest financial exposure. Critical Risk customers default at 62.10%, but it's the Watchlist segment that holds the majority of the bank's outstanding balance. A monitoring process built only around default-rate ranking would miss where most of the money actually sits.</w:t>
      </w:r>
    </w:p>
    <w:p>
      <w:pPr>
        <w:pStyle w:val="Heading1"/>
        <w:spacing w:after="200" w:before="400"/>
      </w:pPr>
      <w:r>
        <w:t xml:space="preserve">2. Business Task</w:t>
      </w:r>
    </w:p>
    <w:p>
      <w:pPr>
        <w:pBdr>
          <w:left w:val="single" w:color="B8860B" w:sz="12"/>
        </w:pBdr>
        <w:spacing w:after="200"/>
        <w:ind w:left="200"/>
      </w:pPr>
      <w:r>
        <w:rPr>
          <w:i/>
          <w:iCs/>
          <w:sz w:val="24"/>
          <w:szCs w:val="24"/>
        </w:rPr>
        <w:t xml:space="preserve">Which customer and repayment-behaviour patterns are associated with higher default risk, where is the bank's credit exposure concentrated, and which customer segments should receive greater risk-management attention?</w:t>
      </w:r>
    </w:p>
    <w:p>
      <w:pPr>
        <w:spacing w:after="200"/>
      </w:pPr>
      <w:r>
        <w:t xml:space="preserve">The primary stakeholder I framed this analysis around is the Credit Risk Manager, who needs three things from this work: Risk — where is default most prevalent; Behaviour — what repayment patterns are associated with default; and Exposure — where has the bank granted, and where is currently outstanding, significant credit to customers displaying higher-risk behaviour.</w:t>
      </w:r>
    </w:p>
    <w:p>
      <w:pPr>
        <w:spacing w:after="200"/>
      </w:pPr>
      <w:r>
        <w:t xml:space="preserve">One framing decision mattered throughout the project: I use the phrase "associated with" default, never "causes." This is observational data — it can reveal relationships, but it can't prove that a given behaviour causes default. I also deliberately kept demographics (age, gender, education, marital status) as descriptive context rather than the basis for any risk decision. The final segmentation is built entirely from financial and repayment behaviour, not who the customer is.</w:t>
      </w:r>
    </w:p>
    <w:p>
      <w:pPr>
        <w:pStyle w:val="Heading1"/>
        <w:spacing w:after="200" w:before="400"/>
      </w:pPr>
      <w:r>
        <w:t xml:space="preserve">3. Data Source and Dataset Structure</w:t>
      </w:r>
    </w:p>
    <w:p>
      <w:pPr>
        <w:spacing w:after="200"/>
      </w:pPr>
      <w:r>
        <w:t xml:space="preserve">The dataset comes from the UCI Machine Learning Repository — "Default of Credit Card Clients." It contains 30,000 Taiwanese credit-card customers with 25 columns: a customer ID, 23 predictor fields, and a binary default target. Six months of repayment status, bill statements, and payment amounts run from April through September 2005, and all monetary values are in New Taiwan dollars. UCI reports no missing values, and the dataset is licensed CC BY 4.0, which made it safe to use and publish for a portfolio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1F3A4D" w:color="auto" w:val="clear"/>
          </w:tcPr>
          <w:p>
            <w:r>
              <w:rPr>
                <w:b/>
                <w:bCs/>
                <w:color w:val="FFFFFF"/>
                <w:sz w:val="20"/>
                <w:szCs w:val="20"/>
              </w:rPr>
              <w:t xml:space="preserve">Field group</w:t>
            </w:r>
          </w:p>
        </w:tc>
        <w:tc>
          <w:tcPr>
            <w:tcW w:type="dxa" w:w="3800"/>
            <w:shd w:fill="1F3A4D" w:color="auto" w:val="clear"/>
          </w:tcPr>
          <w:p>
            <w:r>
              <w:rPr>
                <w:b/>
                <w:bCs/>
                <w:color w:val="FFFFFF"/>
                <w:sz w:val="20"/>
                <w:szCs w:val="20"/>
              </w:rPr>
              <w:t xml:space="preserve">Source columns</w:t>
            </w:r>
          </w:p>
        </w:tc>
        <w:tc>
          <w:tcPr>
            <w:tcW w:type="dxa" w:w="3000"/>
            <w:shd w:fill="1F3A4D" w:color="auto" w:val="clear"/>
          </w:tcPr>
          <w:p>
            <w:r>
              <w:rPr>
                <w:b/>
                <w:bCs/>
                <w:color w:val="FFFFFF"/>
                <w:sz w:val="20"/>
                <w:szCs w:val="20"/>
              </w:rPr>
              <w:t xml:space="preserve">Purpose</w:t>
            </w:r>
          </w:p>
        </w:tc>
      </w:tr>
      <w:tr>
        <w:tc>
          <w:tcPr>
            <w:tcW w:type="dxa" w:w="2200"/>
          </w:tcPr>
          <w:p>
            <w:r>
              <w:rPr>
                <w:b w:val="false"/>
                <w:bCs w:val="false"/>
                <w:color w:val="000000"/>
                <w:sz w:val="20"/>
                <w:szCs w:val="20"/>
              </w:rPr>
              <w:t xml:space="preserve">Identifier</w:t>
            </w:r>
          </w:p>
        </w:tc>
        <w:tc>
          <w:tcPr>
            <w:tcW w:type="dxa" w:w="3800"/>
          </w:tcPr>
          <w:p>
            <w:r>
              <w:rPr>
                <w:b w:val="false"/>
                <w:bCs w:val="false"/>
                <w:color w:val="000000"/>
                <w:sz w:val="20"/>
                <w:szCs w:val="20"/>
              </w:rPr>
              <w:t xml:space="preserve">ID</w:t>
            </w:r>
          </w:p>
        </w:tc>
        <w:tc>
          <w:tcPr>
            <w:tcW w:type="dxa" w:w="3000"/>
          </w:tcPr>
          <w:p>
            <w:r>
              <w:rPr>
                <w:b w:val="false"/>
                <w:bCs w:val="false"/>
                <w:color w:val="000000"/>
                <w:sz w:val="20"/>
                <w:szCs w:val="20"/>
              </w:rPr>
              <w:t xml:space="preserve">Unique customer key</w:t>
            </w:r>
          </w:p>
        </w:tc>
      </w:tr>
      <w:tr>
        <w:tc>
          <w:tcPr>
            <w:tcW w:type="dxa" w:w="2200"/>
          </w:tcPr>
          <w:p>
            <w:r>
              <w:rPr>
                <w:b w:val="false"/>
                <w:bCs w:val="false"/>
                <w:color w:val="000000"/>
                <w:sz w:val="20"/>
                <w:szCs w:val="20"/>
              </w:rPr>
              <w:t xml:space="preserve">Credit capacity</w:t>
            </w:r>
          </w:p>
        </w:tc>
        <w:tc>
          <w:tcPr>
            <w:tcW w:type="dxa" w:w="3800"/>
          </w:tcPr>
          <w:p>
            <w:r>
              <w:rPr>
                <w:b w:val="false"/>
                <w:bCs w:val="false"/>
                <w:color w:val="000000"/>
                <w:sz w:val="20"/>
                <w:szCs w:val="20"/>
              </w:rPr>
              <w:t xml:space="preserve">LIMIT_BAL</w:t>
            </w:r>
          </w:p>
        </w:tc>
        <w:tc>
          <w:tcPr>
            <w:tcW w:type="dxa" w:w="3000"/>
          </w:tcPr>
          <w:p>
            <w:r>
              <w:rPr>
                <w:b w:val="false"/>
                <w:bCs w:val="false"/>
                <w:color w:val="000000"/>
                <w:sz w:val="20"/>
                <w:szCs w:val="20"/>
              </w:rPr>
              <w:t xml:space="preserve">Credit limit</w:t>
            </w:r>
          </w:p>
        </w:tc>
      </w:tr>
      <w:tr>
        <w:tc>
          <w:tcPr>
            <w:tcW w:type="dxa" w:w="2200"/>
          </w:tcPr>
          <w:p>
            <w:r>
              <w:rPr>
                <w:b w:val="false"/>
                <w:bCs w:val="false"/>
                <w:color w:val="000000"/>
                <w:sz w:val="20"/>
                <w:szCs w:val="20"/>
              </w:rPr>
              <w:t xml:space="preserve">Demographics</w:t>
            </w:r>
          </w:p>
        </w:tc>
        <w:tc>
          <w:tcPr>
            <w:tcW w:type="dxa" w:w="3800"/>
          </w:tcPr>
          <w:p>
            <w:r>
              <w:rPr>
                <w:b w:val="false"/>
                <w:bCs w:val="false"/>
                <w:color w:val="000000"/>
                <w:sz w:val="20"/>
                <w:szCs w:val="20"/>
              </w:rPr>
              <w:t xml:space="preserve">SEX, EDUCATION, MARRIAGE, AGE</w:t>
            </w:r>
          </w:p>
        </w:tc>
        <w:tc>
          <w:tcPr>
            <w:tcW w:type="dxa" w:w="3000"/>
          </w:tcPr>
          <w:p>
            <w:r>
              <w:rPr>
                <w:b w:val="false"/>
                <w:bCs w:val="false"/>
                <w:color w:val="000000"/>
                <w:sz w:val="20"/>
                <w:szCs w:val="20"/>
              </w:rPr>
              <w:t xml:space="preserve">Customer profile (descriptive only)</w:t>
            </w:r>
          </w:p>
        </w:tc>
      </w:tr>
      <w:tr>
        <w:tc>
          <w:tcPr>
            <w:tcW w:type="dxa" w:w="2200"/>
          </w:tcPr>
          <w:p>
            <w:r>
              <w:rPr>
                <w:b w:val="false"/>
                <w:bCs w:val="false"/>
                <w:color w:val="000000"/>
                <w:sz w:val="20"/>
                <w:szCs w:val="20"/>
              </w:rPr>
              <w:t xml:space="preserve">Repayment status</w:t>
            </w:r>
          </w:p>
        </w:tc>
        <w:tc>
          <w:tcPr>
            <w:tcW w:type="dxa" w:w="3800"/>
          </w:tcPr>
          <w:p>
            <w:r>
              <w:rPr>
                <w:b w:val="false"/>
                <w:bCs w:val="false"/>
                <w:color w:val="000000"/>
                <w:sz w:val="20"/>
                <w:szCs w:val="20"/>
              </w:rPr>
              <w:t xml:space="preserve">PAY_0, PAY_2 ... PAY_6</w:t>
            </w:r>
          </w:p>
        </w:tc>
        <w:tc>
          <w:tcPr>
            <w:tcW w:type="dxa" w:w="3000"/>
          </w:tcPr>
          <w:p>
            <w:r>
              <w:rPr>
                <w:b w:val="false"/>
                <w:bCs w:val="false"/>
                <w:color w:val="000000"/>
                <w:sz w:val="20"/>
                <w:szCs w:val="20"/>
              </w:rPr>
              <w:t xml:space="preserve">Monthly repayment/delinquency status</w:t>
            </w:r>
          </w:p>
        </w:tc>
      </w:tr>
      <w:tr>
        <w:tc>
          <w:tcPr>
            <w:tcW w:type="dxa" w:w="2200"/>
          </w:tcPr>
          <w:p>
            <w:r>
              <w:rPr>
                <w:b w:val="false"/>
                <w:bCs w:val="false"/>
                <w:color w:val="000000"/>
                <w:sz w:val="20"/>
                <w:szCs w:val="20"/>
              </w:rPr>
              <w:t xml:space="preserve">Bill statements</w:t>
            </w:r>
          </w:p>
        </w:tc>
        <w:tc>
          <w:tcPr>
            <w:tcW w:type="dxa" w:w="3800"/>
          </w:tcPr>
          <w:p>
            <w:r>
              <w:rPr>
                <w:b w:val="false"/>
                <w:bCs w:val="false"/>
                <w:color w:val="000000"/>
                <w:sz w:val="20"/>
                <w:szCs w:val="20"/>
              </w:rPr>
              <w:t xml:space="preserve">BILL_AMT1 ... BILL_AMT6</w:t>
            </w:r>
          </w:p>
        </w:tc>
        <w:tc>
          <w:tcPr>
            <w:tcW w:type="dxa" w:w="3000"/>
          </w:tcPr>
          <w:p>
            <w:r>
              <w:rPr>
                <w:b w:val="false"/>
                <w:bCs w:val="false"/>
                <w:color w:val="000000"/>
                <w:sz w:val="20"/>
                <w:szCs w:val="20"/>
              </w:rPr>
              <w:t xml:space="preserve">Monthly billed balances</w:t>
            </w:r>
          </w:p>
        </w:tc>
      </w:tr>
      <w:tr>
        <w:tc>
          <w:tcPr>
            <w:tcW w:type="dxa" w:w="2200"/>
          </w:tcPr>
          <w:p>
            <w:r>
              <w:rPr>
                <w:b w:val="false"/>
                <w:bCs w:val="false"/>
                <w:color w:val="000000"/>
                <w:sz w:val="20"/>
                <w:szCs w:val="20"/>
              </w:rPr>
              <w:t xml:space="preserve">Payments</w:t>
            </w:r>
          </w:p>
        </w:tc>
        <w:tc>
          <w:tcPr>
            <w:tcW w:type="dxa" w:w="3800"/>
          </w:tcPr>
          <w:p>
            <w:r>
              <w:rPr>
                <w:b w:val="false"/>
                <w:bCs w:val="false"/>
                <w:color w:val="000000"/>
                <w:sz w:val="20"/>
                <w:szCs w:val="20"/>
              </w:rPr>
              <w:t xml:space="preserve">PAY_AMT1 ... PAY_AMT6</w:t>
            </w:r>
          </w:p>
        </w:tc>
        <w:tc>
          <w:tcPr>
            <w:tcW w:type="dxa" w:w="3000"/>
          </w:tcPr>
          <w:p>
            <w:r>
              <w:rPr>
                <w:b w:val="false"/>
                <w:bCs w:val="false"/>
                <w:color w:val="000000"/>
                <w:sz w:val="20"/>
                <w:szCs w:val="20"/>
              </w:rPr>
              <w:t xml:space="preserve">Monthly payment amounts</w:t>
            </w:r>
          </w:p>
        </w:tc>
      </w:tr>
      <w:tr>
        <w:tc>
          <w:tcPr>
            <w:tcW w:type="dxa" w:w="2200"/>
          </w:tcPr>
          <w:p>
            <w:r>
              <w:rPr>
                <w:b w:val="false"/>
                <w:bCs w:val="false"/>
                <w:color w:val="000000"/>
                <w:sz w:val="20"/>
                <w:szCs w:val="20"/>
              </w:rPr>
              <w:t xml:space="preserve">Target</w:t>
            </w:r>
          </w:p>
        </w:tc>
        <w:tc>
          <w:tcPr>
            <w:tcW w:type="dxa" w:w="3800"/>
          </w:tcPr>
          <w:p>
            <w:r>
              <w:rPr>
                <w:b w:val="false"/>
                <w:bCs w:val="false"/>
                <w:color w:val="000000"/>
                <w:sz w:val="20"/>
                <w:szCs w:val="20"/>
              </w:rPr>
              <w:t xml:space="preserve">default payment next month</w:t>
            </w:r>
          </w:p>
        </w:tc>
        <w:tc>
          <w:tcPr>
            <w:tcW w:type="dxa" w:w="3000"/>
          </w:tcPr>
          <w:p>
            <w:r>
              <w:rPr>
                <w:b w:val="false"/>
                <w:bCs w:val="false"/>
                <w:color w:val="000000"/>
                <w:sz w:val="20"/>
                <w:szCs w:val="20"/>
              </w:rPr>
              <w:t xml:space="preserve">1 = default, 0 = non-default</w:t>
            </w:r>
          </w:p>
        </w:tc>
      </w:tr>
    </w:tbl>
    <w:p>
      <w:pPr>
        <w:spacing w:after="200"/>
      </w:pPr>
      <w:r>
        <w:t xml:space="preserve"/>
      </w:r>
    </w:p>
    <w:p>
      <w:pPr>
        <w:pStyle w:val="Heading1"/>
        <w:spacing w:after="200" w:before="400"/>
      </w:pPr>
      <w:r>
        <w:t xml:space="preserve">4. Project Architecture</w:t>
      </w:r>
    </w:p>
    <w:p>
      <w:pPr>
        <w:spacing w:after="200"/>
      </w:pPr>
      <w:r>
        <w:t xml:space="preserve">I kept Power BI deliberately downstream of SQL. Every business decision — the behavioural feature definitions, the risk segmentation rules, the exposure calculations — lives in MySQL, where I could test, validate, and correct it. Power BI connects to a single final reporting view and never redefines that logic in DAX or Power Query. The workflow runs:</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UCI Excel file</w:t>
      </w:r>
      <w:r>
        <w:rPr>
          <w:rFonts w:ascii="Consolas" w:cs="Consolas" w:eastAsia="Consolas" w:hAnsi="Consolas"/>
          <w:sz w:val="18"/>
          <w:szCs w:val="18"/>
        </w:rPr>
        <w:br/>
        <w:t xml:space="preserve">  ↓</w:t>
      </w:r>
      <w:r>
        <w:rPr>
          <w:rFonts w:ascii="Consolas" w:cs="Consolas" w:eastAsia="Consolas" w:hAnsi="Consolas"/>
          <w:sz w:val="18"/>
          <w:szCs w:val="18"/>
        </w:rPr>
        <w:br/>
        <w:t xml:space="preserve">MySQL raw import (credit_card_clients_raw, untouched)</w:t>
      </w:r>
      <w:r>
        <w:rPr>
          <w:rFonts w:ascii="Consolas" w:cs="Consolas" w:eastAsia="Consolas" w:hAnsi="Consolas"/>
          <w:sz w:val="18"/>
          <w:szCs w:val="18"/>
        </w:rPr>
        <w:br/>
        <w:t xml:space="preserve">  ↓</w:t>
      </w:r>
      <w:r>
        <w:rPr>
          <w:rFonts w:ascii="Consolas" w:cs="Consolas" w:eastAsia="Consolas" w:hAnsi="Consolas"/>
          <w:sz w:val="18"/>
          <w:szCs w:val="18"/>
        </w:rPr>
        <w:br/>
        <w:t xml:space="preserve">credit_card_clients_clean</w:t>
      </w:r>
      <w:r>
        <w:rPr>
          <w:rFonts w:ascii="Consolas" w:cs="Consolas" w:eastAsia="Consolas" w:hAnsi="Consolas"/>
          <w:sz w:val="18"/>
          <w:szCs w:val="18"/>
        </w:rPr>
        <w:br/>
        <w:t xml:space="preserve">  ↓</w:t>
      </w:r>
      <w:r>
        <w:rPr>
          <w:rFonts w:ascii="Consolas" w:cs="Consolas" w:eastAsia="Consolas" w:hAnsi="Consolas"/>
          <w:sz w:val="18"/>
          <w:szCs w:val="18"/>
        </w:rPr>
        <w:br/>
        <w:t xml:space="preserve">Data profiling + SQL behavioural analysis</w:t>
      </w:r>
      <w:r>
        <w:rPr>
          <w:rFonts w:ascii="Consolas" w:cs="Consolas" w:eastAsia="Consolas" w:hAnsi="Consolas"/>
          <w:sz w:val="18"/>
          <w:szCs w:val="18"/>
        </w:rPr>
        <w:br/>
        <w:t xml:space="preserve">  ↓</w:t>
      </w:r>
      <w:r>
        <w:rPr>
          <w:rFonts w:ascii="Consolas" w:cs="Consolas" w:eastAsia="Consolas" w:hAnsi="Consolas"/>
          <w:sz w:val="18"/>
          <w:szCs w:val="18"/>
        </w:rPr>
        <w:br/>
        <w:t xml:space="preserve">Frozen risk segmentation + exposure logic</w:t>
      </w:r>
      <w:r>
        <w:rPr>
          <w:rFonts w:ascii="Consolas" w:cs="Consolas" w:eastAsia="Consolas" w:hAnsi="Consolas"/>
          <w:sz w:val="18"/>
          <w:szCs w:val="18"/>
        </w:rPr>
        <w:br/>
        <w:t xml:space="preserve">  ↓</w:t>
      </w:r>
      <w:r>
        <w:rPr>
          <w:rFonts w:ascii="Consolas" w:cs="Consolas" w:eastAsia="Consolas" w:hAnsi="Consolas"/>
          <w:sz w:val="18"/>
          <w:szCs w:val="18"/>
        </w:rPr>
        <w:br/>
        <w:t xml:space="preserve">vw_credit_risk_analysis (final reporting view)</w:t>
      </w:r>
      <w:r>
        <w:rPr>
          <w:rFonts w:ascii="Consolas" w:cs="Consolas" w:eastAsia="Consolas" w:hAnsi="Consolas"/>
          <w:sz w:val="18"/>
          <w:szCs w:val="18"/>
        </w:rPr>
        <w:br/>
        <w:t xml:space="preserve">  ↓</w:t>
      </w:r>
      <w:r>
        <w:rPr>
          <w:rFonts w:ascii="Consolas" w:cs="Consolas" w:eastAsia="Consolas" w:hAnsi="Consolas"/>
          <w:sz w:val="18"/>
          <w:szCs w:val="18"/>
        </w:rPr>
        <w:br/>
        <w:t xml:space="preserve">Power BI (Import mode) + DAX</w:t>
      </w:r>
      <w:r>
        <w:rPr>
          <w:rFonts w:ascii="Consolas" w:cs="Consolas" w:eastAsia="Consolas" w:hAnsi="Consolas"/>
          <w:sz w:val="18"/>
          <w:szCs w:val="18"/>
        </w:rPr>
        <w:br/>
        <w:t xml:space="preserve">  ↓</w:t>
      </w:r>
      <w:r>
        <w:rPr>
          <w:rFonts w:ascii="Consolas" w:cs="Consolas" w:eastAsia="Consolas" w:hAnsi="Consolas"/>
          <w:sz w:val="18"/>
          <w:szCs w:val="18"/>
        </w:rPr>
        <w:br/>
        <w:t xml:space="preserve">Credit Risk &amp; Portfolio Monitoring dashboard</w:t>
      </w:r>
    </w:p>
    <w:p>
      <w:pPr>
        <w:pStyle w:val="Heading1"/>
        <w:spacing w:after="200" w:before="400"/>
      </w:pPr>
      <w:r>
        <w:t xml:space="preserve">5. Data Profiling — Understanding the Data Before Touching It</w:t>
      </w:r>
    </w:p>
    <w:p>
      <w:pPr>
        <w:spacing w:after="200"/>
      </w:pPr>
      <w:r>
        <w:t xml:space="preserve">Before cleaning anything, I imported the raw UCI export into a credit_card_clients_raw table and left it untouched for the rest of the project — an auditable source layer I could always compare back to. Then I profiled it column by column, specifically looking for values that looked wrong but might not actually be errors.</w:t>
      </w:r>
    </w:p>
    <w:p>
      <w:pPr>
        <w:pStyle w:val="Heading2"/>
        <w:spacing w:after="150" w:before="300"/>
      </w:pPr>
      <w:r>
        <w:t xml:space="preserve">5.1 Repayment-status and category codes</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SELECT EDUCATION, COUNT(*) AS customers</w:t>
      </w:r>
      <w:r>
        <w:rPr>
          <w:rFonts w:ascii="Consolas" w:cs="Consolas" w:eastAsia="Consolas" w:hAnsi="Consolas"/>
          <w:sz w:val="18"/>
          <w:szCs w:val="18"/>
        </w:rPr>
        <w:br/>
        <w:t xml:space="preserve">FROM credit_card_clients_raw</w:t>
      </w:r>
      <w:r>
        <w:rPr>
          <w:rFonts w:ascii="Consolas" w:cs="Consolas" w:eastAsia="Consolas" w:hAnsi="Consolas"/>
          <w:sz w:val="18"/>
          <w:szCs w:val="18"/>
        </w:rPr>
        <w:br/>
        <w:t xml:space="preserve">GROUP BY EDUCATION</w:t>
      </w:r>
      <w:r>
        <w:rPr>
          <w:rFonts w:ascii="Consolas" w:cs="Consolas" w:eastAsia="Consolas" w:hAnsi="Consolas"/>
          <w:sz w:val="18"/>
          <w:szCs w:val="18"/>
        </w:rPr>
        <w:br/>
        <w:t xml:space="preserve">ORDER BY EDUCATION;</w:t>
      </w:r>
    </w:p>
    <w:p>
      <w:pPr>
        <w:spacing w:after="200"/>
      </w:pPr>
      <w:r>
        <w:t xml:space="preserve">UCI documents EDUCATION codes 1 through 4, but the raw data also contained codes 0, 5, and 6 — about 345 customers, roughly 1.15% of the portfolio. I ran the same check on MARRIAGE and found an undocumented code 0 affecting 54 customers. In both cases I didn't delete the records or guess what the undocumented codes meant; I grouped them as "Other/Unknown" and kept every customer in the analysis.</w:t>
      </w:r>
    </w:p>
    <w:p>
      <w:pPr>
        <w:spacing w:after="200"/>
      </w:pPr>
      <w:r>
        <w:t xml:space="preserve">The repayment-status fields needed the same care. UCI's own variable description defines -1 as "pay duly" and 1 through 9 as months of payment delay — but it does not define the -2 and 0 codes that also appear throughout the data. I treated only -2 and 0 as genuinely undocumented, retained them rather than guessing at a meaning, and noted my working assumption (-2 as no card usage that month, 0 as a carried balance with no recorded delinquency) explicitly as an assumption rather than a documented fact.</w:t>
      </w:r>
    </w:p>
    <w:p>
      <w:pPr>
        <w:pStyle w:val="Heading2"/>
        <w:spacing w:after="150" w:before="300"/>
      </w:pPr>
      <w:r>
        <w:t xml:space="preserve">5.2 Numeric ranges and duplicate/missing-value checks</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SELECT</w:t>
      </w:r>
      <w:r>
        <w:rPr>
          <w:rFonts w:ascii="Consolas" w:cs="Consolas" w:eastAsia="Consolas" w:hAnsi="Consolas"/>
          <w:sz w:val="18"/>
          <w:szCs w:val="18"/>
        </w:rPr>
        <w:br/>
        <w:t xml:space="preserve">    MIN(LIMIT_BAL) AS min_credit_limit, MAX(LIMIT_BAL) AS max_credit_limit,</w:t>
      </w:r>
      <w:r>
        <w:rPr>
          <w:rFonts w:ascii="Consolas" w:cs="Consolas" w:eastAsia="Consolas" w:hAnsi="Consolas"/>
          <w:sz w:val="18"/>
          <w:szCs w:val="18"/>
        </w:rPr>
        <w:br/>
        <w:t xml:space="preserve">    MIN(AGE) AS min_age, MAX(AGE) AS max_age,</w:t>
      </w:r>
      <w:r>
        <w:rPr>
          <w:rFonts w:ascii="Consolas" w:cs="Consolas" w:eastAsia="Consolas" w:hAnsi="Consolas"/>
          <w:sz w:val="18"/>
          <w:szCs w:val="18"/>
        </w:rPr>
        <w:br/>
        <w:t xml:space="preserve">    MIN(BILL_AMT1) AS min_sep_bill, MAX(BILL_AMT1) AS max_sep_bill,</w:t>
      </w:r>
      <w:r>
        <w:rPr>
          <w:rFonts w:ascii="Consolas" w:cs="Consolas" w:eastAsia="Consolas" w:hAnsi="Consolas"/>
          <w:sz w:val="18"/>
          <w:szCs w:val="18"/>
        </w:rPr>
        <w:br/>
        <w:t xml:space="preserve">    MIN(PAY_AMT1) AS min_sep_payment, MAX(PAY_AMT1) AS max_sep_payment</w:t>
      </w:r>
      <w:r>
        <w:rPr>
          <w:rFonts w:ascii="Consolas" w:cs="Consolas" w:eastAsia="Consolas" w:hAnsi="Consolas"/>
          <w:sz w:val="18"/>
          <w:szCs w:val="18"/>
        </w:rPr>
        <w:br/>
        <w:t xml:space="preserve">FROM credit_card_clients_raw;</w:t>
      </w:r>
    </w:p>
    <w:p>
      <w:pPr>
        <w:spacing w:after="200"/>
      </w:pPr>
      <w:r>
        <w:t xml:space="preserve">This turned up two things that looked alarming at first glance but weren't errors: negative bill balances (customers who overpaid or carried a credit balance) and over-limit balances. A separate check — a customer's bill exceeding their credit limit in at least one of the six observed months — found 3,931 such customers, about 13% of the portfolio. That's a different, broader measure than the six-month average-utilization bands I calculate later in the analysis, where only 637 customers average 100%+ utilization across the full window; a single bad month is far more common than a persistently maxed-out account. Both behaviours are legitimate, not data-quality problems, so I kept every record. I also confirmed zero duplicate customer IDs and zero NULLs across all 25 columns, and a clean binary target with no unexpected values. The dataset's real quality issues turned out to be narrow — a handful of undocumented category and repayment-status codes — rather than the sprawling mess I'd braced for.</w:t>
      </w:r>
    </w:p>
    <w:p>
      <w:pPr>
        <w:pStyle w:val="Heading1"/>
        <w:spacing w:after="200" w:before="400"/>
      </w:pPr>
      <w:r>
        <w:t xml:space="preserve">6. Cleaning and Transformation</w:t>
      </w:r>
    </w:p>
    <w:p>
      <w:pPr>
        <w:spacing w:after="200"/>
      </w:pPr>
      <w:r>
        <w:t xml:space="preserve">With profiling done, I built a separate credit_card_clients_clean table rather than modifying the raw one, keeping the same auditable-source-layer principle.</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CREATE TABLE credit_card_clients_clean AS</w:t>
      </w:r>
      <w:r>
        <w:rPr>
          <w:rFonts w:ascii="Consolas" w:cs="Consolas" w:eastAsia="Consolas" w:hAnsi="Consolas"/>
          <w:sz w:val="18"/>
          <w:szCs w:val="18"/>
        </w:rPr>
        <w:br/>
        <w:t xml:space="preserve">SELECT</w:t>
      </w:r>
      <w:r>
        <w:rPr>
          <w:rFonts w:ascii="Consolas" w:cs="Consolas" w:eastAsia="Consolas" w:hAnsi="Consolas"/>
          <w:sz w:val="18"/>
          <w:szCs w:val="18"/>
        </w:rPr>
        <w:br/>
        <w:t xml:space="preserve">    CAST(ID AS UNSIGNED) AS customer_id,</w:t>
      </w:r>
      <w:r>
        <w:rPr>
          <w:rFonts w:ascii="Consolas" w:cs="Consolas" w:eastAsia="Consolas" w:hAnsi="Consolas"/>
          <w:sz w:val="18"/>
          <w:szCs w:val="18"/>
        </w:rPr>
        <w:br/>
        <w:t xml:space="preserve">    CAST(LIMIT_BAL AS DECIMAL(14,2)) AS credit_limit,</w:t>
      </w:r>
      <w:r>
        <w:rPr>
          <w:rFonts w:ascii="Consolas" w:cs="Consolas" w:eastAsia="Consolas" w:hAnsi="Consolas"/>
          <w:sz w:val="18"/>
          <w:szCs w:val="18"/>
        </w:rPr>
        <w:br/>
        <w:t xml:space="preserve">    CASE WHEN SEX = 1 THEN 'Male' WHEN SEX = 2 THEN 'Female' ELSE 'Unknown' END AS gender,</w:t>
      </w:r>
      <w:r>
        <w:rPr>
          <w:rFonts w:ascii="Consolas" w:cs="Consolas" w:eastAsia="Consolas" w:hAnsi="Consolas"/>
          <w:sz w:val="18"/>
          <w:szCs w:val="18"/>
        </w:rPr>
        <w:br/>
        <w:t xml:space="preserve">    CASE WHEN EDUCATION = 1 THEN 'Graduate School'</w:t>
      </w:r>
      <w:r>
        <w:rPr>
          <w:rFonts w:ascii="Consolas" w:cs="Consolas" w:eastAsia="Consolas" w:hAnsi="Consolas"/>
          <w:sz w:val="18"/>
          <w:szCs w:val="18"/>
        </w:rPr>
        <w:br/>
        <w:t xml:space="preserve">         WHEN EDUCATION = 2 THEN 'University'</w:t>
      </w:r>
      <w:r>
        <w:rPr>
          <w:rFonts w:ascii="Consolas" w:cs="Consolas" w:eastAsia="Consolas" w:hAnsi="Consolas"/>
          <w:sz w:val="18"/>
          <w:szCs w:val="18"/>
        </w:rPr>
        <w:br/>
        <w:t xml:space="preserve">         WHEN EDUCATION = 3 THEN 'High School'</w:t>
      </w:r>
      <w:r>
        <w:rPr>
          <w:rFonts w:ascii="Consolas" w:cs="Consolas" w:eastAsia="Consolas" w:hAnsi="Consolas"/>
          <w:sz w:val="18"/>
          <w:szCs w:val="18"/>
        </w:rPr>
        <w:br/>
        <w:t xml:space="preserve">         ELSE 'Other/Unknown' END AS education_level,</w:t>
      </w:r>
      <w:r>
        <w:rPr>
          <w:rFonts w:ascii="Consolas" w:cs="Consolas" w:eastAsia="Consolas" w:hAnsi="Consolas"/>
          <w:sz w:val="18"/>
          <w:szCs w:val="18"/>
        </w:rPr>
        <w:br/>
        <w:t xml:space="preserve">    CASE WHEN MARRIAGE = 1 THEN 'Married'</w:t>
      </w:r>
      <w:r>
        <w:rPr>
          <w:rFonts w:ascii="Consolas" w:cs="Consolas" w:eastAsia="Consolas" w:hAnsi="Consolas"/>
          <w:sz w:val="18"/>
          <w:szCs w:val="18"/>
        </w:rPr>
        <w:br/>
        <w:t xml:space="preserve">         WHEN MARRIAGE = 2 THEN 'Single'</w:t>
      </w:r>
      <w:r>
        <w:rPr>
          <w:rFonts w:ascii="Consolas" w:cs="Consolas" w:eastAsia="Consolas" w:hAnsi="Consolas"/>
          <w:sz w:val="18"/>
          <w:szCs w:val="18"/>
        </w:rPr>
        <w:br/>
        <w:t xml:space="preserve">         ELSE 'Other/Unknown' END AS marital_status,</w:t>
      </w:r>
      <w:r>
        <w:rPr>
          <w:rFonts w:ascii="Consolas" w:cs="Consolas" w:eastAsia="Consolas" w:hAnsi="Consolas"/>
          <w:sz w:val="18"/>
          <w:szCs w:val="18"/>
        </w:rPr>
        <w:br/>
        <w:t xml:space="preserve">    -- repayment/bill/payment columns renamed to readable month labels</w:t>
      </w:r>
      <w:r>
        <w:rPr>
          <w:rFonts w:ascii="Consolas" w:cs="Consolas" w:eastAsia="Consolas" w:hAnsi="Consolas"/>
          <w:sz w:val="18"/>
          <w:szCs w:val="18"/>
        </w:rPr>
        <w:br/>
        <w:t xml:space="preserve">    CAST(`default payment next month` AS UNSIGNED) AS default_next_month</w:t>
      </w:r>
      <w:r>
        <w:rPr>
          <w:rFonts w:ascii="Consolas" w:cs="Consolas" w:eastAsia="Consolas" w:hAnsi="Consolas"/>
          <w:sz w:val="18"/>
          <w:szCs w:val="18"/>
        </w:rPr>
        <w:br/>
        <w:t xml:space="preserve">FROM credit_card_clients_raw;</w:t>
      </w:r>
    </w:p>
    <w:p>
      <w:pPr>
        <w:spacing w:after="200"/>
      </w:pPr>
      <w:r>
        <w:t xml:space="preserve">The column renaming mattered more than it sounds like it should. PAY_0, BILL_AMT1, and PAY_AMT1 don't tell you anything at a glance, so I renamed the repayment/bill/payment fields to pay_status_sep, bill_amount_sep, payment_amount_sep (and so on back to April). Every query after this point became self-explanatory without a data dictionary open in another tab. Nothing was deleted — every transformation decision here is one I can defend: readable names, undocumented codes grouped as Unknown rather than guessed at, and negative or over-limit balances preserved because they're real account behaviour, not calculation errors.</w:t>
      </w:r>
    </w:p>
    <w:p>
      <w:pPr>
        <w:pStyle w:val="Heading1"/>
        <w:spacing w:after="200" w:before="400"/>
      </w:pPr>
      <w:r>
        <w:t xml:space="preserve">7. SQL Analysis — Which Behaviours Actually Matter?</w:t>
      </w:r>
    </w:p>
    <w:p>
      <w:pPr>
        <w:spacing w:after="200"/>
      </w:pPr>
      <w:r>
        <w:t xml:space="preserve">This is where the project moves from "clean data" to "answer the business question." I built each analysis one variable at a time, and each one motivated the next.</w:t>
      </w:r>
    </w:p>
    <w:p>
      <w:pPr>
        <w:pStyle w:val="Heading2"/>
        <w:spacing w:after="150" w:before="300"/>
      </w:pPr>
      <w:r>
        <w:t xml:space="preserve">7.1 Does the most recent repayment status predict default?</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SELECT pay_status_sep, COUNT(*) AS total_customers,</w:t>
      </w:r>
      <w:r>
        <w:rPr>
          <w:rFonts w:ascii="Consolas" w:cs="Consolas" w:eastAsia="Consolas" w:hAnsi="Consolas"/>
          <w:sz w:val="18"/>
          <w:szCs w:val="18"/>
        </w:rPr>
        <w:br/>
        <w:t xml:space="preserve">       SUM(default_next_month) AS default_customers,</w:t>
      </w:r>
      <w:r>
        <w:rPr>
          <w:rFonts w:ascii="Consolas" w:cs="Consolas" w:eastAsia="Consolas" w:hAnsi="Consolas"/>
          <w:sz w:val="18"/>
          <w:szCs w:val="18"/>
        </w:rPr>
        <w:br/>
        <w:t xml:space="preserve">       ROUND(100.0 * SUM(default_next_month) / COUNT(*), 2) AS default_rate_pct</w:t>
      </w:r>
      <w:r>
        <w:rPr>
          <w:rFonts w:ascii="Consolas" w:cs="Consolas" w:eastAsia="Consolas" w:hAnsi="Consolas"/>
          <w:sz w:val="18"/>
          <w:szCs w:val="18"/>
        </w:rPr>
        <w:br/>
        <w:t xml:space="preserve">FROM credit_card_clients_clean</w:t>
      </w:r>
      <w:r>
        <w:rPr>
          <w:rFonts w:ascii="Consolas" w:cs="Consolas" w:eastAsia="Consolas" w:hAnsi="Consolas"/>
          <w:sz w:val="18"/>
          <w:szCs w:val="18"/>
        </w:rPr>
        <w:br/>
        <w:t xml:space="preserve">GROUP BY pay_status_sep</w:t>
      </w:r>
      <w:r>
        <w:rPr>
          <w:rFonts w:ascii="Consolas" w:cs="Consolas" w:eastAsia="Consolas" w:hAnsi="Consolas"/>
          <w:sz w:val="18"/>
          <w:szCs w:val="18"/>
        </w:rPr>
        <w:br/>
        <w:t xml:space="preserve">ORDER BY pay_status_sep;</w:t>
      </w:r>
    </w:p>
    <w:p>
      <w:pPr>
        <w:spacing w:after="200"/>
      </w:pPr>
      <w:r>
        <w:t xml:space="preserve">Customers with a "no delinquency" September status defaulted at 12.81%. Customers one month late jumped to 33.95%. Two months late: 69.14%. That jump was strong enough that I wanted to know whether it got even stronger across the full six-month window rather than a single snapshot.</w:t>
      </w:r>
    </w:p>
    <w:p>
      <w:pPr>
        <w:pStyle w:val="Heading2"/>
        <w:spacing w:after="150" w:before="300"/>
      </w:pPr>
      <w:r>
        <w:t xml:space="preserve">7.2 Multi-month delinquency — the strongest single finding</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WITH customer_delinquency AS (</w:t>
      </w:r>
      <w:r>
        <w:rPr>
          <w:rFonts w:ascii="Consolas" w:cs="Consolas" w:eastAsia="Consolas" w:hAnsi="Consolas"/>
          <w:sz w:val="18"/>
          <w:szCs w:val="18"/>
        </w:rPr>
        <w:br/>
        <w:t xml:space="preserve">    SELECT customer_id, default_next_month,</w:t>
      </w:r>
      <w:r>
        <w:rPr>
          <w:rFonts w:ascii="Consolas" w:cs="Consolas" w:eastAsia="Consolas" w:hAnsi="Consolas"/>
          <w:sz w:val="18"/>
          <w:szCs w:val="18"/>
        </w:rPr>
        <w:br/>
        <w:t xml:space="preserve">        (pay_status_sep &gt;= 1) + (pay_status_aug &gt;= 1) + (pay_status_jul &gt;= 1) +</w:t>
      </w:r>
      <w:r>
        <w:rPr>
          <w:rFonts w:ascii="Consolas" w:cs="Consolas" w:eastAsia="Consolas" w:hAnsi="Consolas"/>
          <w:sz w:val="18"/>
          <w:szCs w:val="18"/>
        </w:rPr>
        <w:br/>
        <w:t xml:space="preserve">        (pay_status_jun &gt;= 1) + (pay_status_may &gt;= 1) + (pay_status_apr &gt;= 1) AS delinquent_months</w:t>
      </w:r>
      <w:r>
        <w:rPr>
          <w:rFonts w:ascii="Consolas" w:cs="Consolas" w:eastAsia="Consolas" w:hAnsi="Consolas"/>
          <w:sz w:val="18"/>
          <w:szCs w:val="18"/>
        </w:rPr>
        <w:br/>
        <w:t xml:space="preserve">    FROM credit_card_clients_clean</w:t>
      </w:r>
      <w:r>
        <w:rPr>
          <w:rFonts w:ascii="Consolas" w:cs="Consolas" w:eastAsia="Consolas" w:hAnsi="Consolas"/>
          <w:sz w:val="18"/>
          <w:szCs w:val="18"/>
        </w:rPr>
        <w:br/>
        <w:t xml:space="preserve">)</w:t>
      </w:r>
      <w:r>
        <w:rPr>
          <w:rFonts w:ascii="Consolas" w:cs="Consolas" w:eastAsia="Consolas" w:hAnsi="Consolas"/>
          <w:sz w:val="18"/>
          <w:szCs w:val="18"/>
        </w:rPr>
        <w:br/>
        <w:t xml:space="preserve">SELECT delinquent_months, COUNT(*) AS total_customers,</w:t>
      </w:r>
      <w:r>
        <w:rPr>
          <w:rFonts w:ascii="Consolas" w:cs="Consolas" w:eastAsia="Consolas" w:hAnsi="Consolas"/>
          <w:sz w:val="18"/>
          <w:szCs w:val="18"/>
        </w:rPr>
        <w:br/>
        <w:t xml:space="preserve">       ROUND(100.0 * SUM(default_next_month) / COUNT(*), 2) AS default_rate_pct</w:t>
      </w:r>
      <w:r>
        <w:rPr>
          <w:rFonts w:ascii="Consolas" w:cs="Consolas" w:eastAsia="Consolas" w:hAnsi="Consolas"/>
          <w:sz w:val="18"/>
          <w:szCs w:val="18"/>
        </w:rPr>
        <w:br/>
        <w:t xml:space="preserve">FROM customer_delinquency</w:t>
      </w:r>
      <w:r>
        <w:rPr>
          <w:rFonts w:ascii="Consolas" w:cs="Consolas" w:eastAsia="Consolas" w:hAnsi="Consolas"/>
          <w:sz w:val="18"/>
          <w:szCs w:val="18"/>
        </w:rPr>
        <w:br/>
        <w:t xml:space="preserve">GROUP BY delinquent_months</w:t>
      </w:r>
      <w:r>
        <w:rPr>
          <w:rFonts w:ascii="Consolas" w:cs="Consolas" w:eastAsia="Consolas" w:hAnsi="Consolas"/>
          <w:sz w:val="18"/>
          <w:szCs w:val="18"/>
        </w:rPr>
        <w:br/>
        <w:t xml:space="preserve">ORDER BY delinquent_months;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1F3A4D" w:color="auto" w:val="clear"/>
          </w:tcPr>
          <w:p>
            <w:r>
              <w:rPr>
                <w:b/>
                <w:bCs/>
                <w:color w:val="FFFFFF"/>
                <w:sz w:val="20"/>
                <w:szCs w:val="20"/>
              </w:rPr>
              <w:t xml:space="preserve">Delinquent months</w:t>
            </w:r>
          </w:p>
        </w:tc>
        <w:tc>
          <w:tcPr>
            <w:tcW w:type="dxa" w:w="2500"/>
            <w:shd w:fill="1F3A4D" w:color="auto" w:val="clear"/>
          </w:tcPr>
          <w:p>
            <w:r>
              <w:rPr>
                <w:b/>
                <w:bCs/>
                <w:color w:val="FFFFFF"/>
                <w:sz w:val="20"/>
                <w:szCs w:val="20"/>
              </w:rPr>
              <w:t xml:space="preserve">Customers</w:t>
            </w:r>
          </w:p>
        </w:tc>
        <w:tc>
          <w:tcPr>
            <w:tcW w:type="dxa" w:w="2000"/>
            <w:shd w:fill="1F3A4D" w:color="auto" w:val="clear"/>
          </w:tcPr>
          <w:p>
            <w:r>
              <w:rPr>
                <w:b/>
                <w:bCs/>
                <w:color w:val="FFFFFF"/>
                <w:sz w:val="20"/>
                <w:szCs w:val="20"/>
              </w:rPr>
              <w:t xml:space="preserve">Defaults</w:t>
            </w:r>
          </w:p>
        </w:tc>
        <w:tc>
          <w:tcPr>
            <w:tcW w:type="dxa" w:w="1800"/>
            <w:shd w:fill="1F3A4D" w:color="auto" w:val="clear"/>
          </w:tcPr>
          <w:p>
            <w:r>
              <w:rPr>
                <w:b/>
                <w:bCs/>
                <w:color w:val="FFFFFF"/>
                <w:sz w:val="20"/>
                <w:szCs w:val="20"/>
              </w:rPr>
              <w:t xml:space="preserve">Default rate</w:t>
            </w:r>
          </w:p>
        </w:tc>
      </w:tr>
      <w:tr>
        <w:tc>
          <w:tcPr>
            <w:tcW w:type="dxa" w:w="3000"/>
          </w:tcPr>
          <w:p>
            <w:r>
              <w:rPr>
                <w:b w:val="false"/>
                <w:bCs w:val="false"/>
                <w:color w:val="000000"/>
                <w:sz w:val="20"/>
                <w:szCs w:val="20"/>
              </w:rPr>
              <w:t xml:space="preserve">0</w:t>
            </w:r>
          </w:p>
        </w:tc>
        <w:tc>
          <w:tcPr>
            <w:tcW w:type="dxa" w:w="2500"/>
          </w:tcPr>
          <w:p>
            <w:r>
              <w:rPr>
                <w:b w:val="false"/>
                <w:bCs w:val="false"/>
                <w:color w:val="000000"/>
                <w:sz w:val="20"/>
                <w:szCs w:val="20"/>
              </w:rPr>
              <w:t xml:space="preserve">19,931</w:t>
            </w:r>
          </w:p>
        </w:tc>
        <w:tc>
          <w:tcPr>
            <w:tcW w:type="dxa" w:w="2000"/>
          </w:tcPr>
          <w:p>
            <w:r>
              <w:rPr>
                <w:b w:val="false"/>
                <w:bCs w:val="false"/>
                <w:color w:val="000000"/>
                <w:sz w:val="20"/>
                <w:szCs w:val="20"/>
              </w:rPr>
              <w:t xml:space="preserve">2,334</w:t>
            </w:r>
          </w:p>
        </w:tc>
        <w:tc>
          <w:tcPr>
            <w:tcW w:type="dxa" w:w="1800"/>
          </w:tcPr>
          <w:p>
            <w:r>
              <w:rPr>
                <w:b w:val="false"/>
                <w:bCs w:val="false"/>
                <w:color w:val="000000"/>
                <w:sz w:val="20"/>
                <w:szCs w:val="20"/>
              </w:rPr>
              <w:t xml:space="preserve">11.71%</w:t>
            </w:r>
          </w:p>
        </w:tc>
      </w:tr>
      <w:tr>
        <w:tc>
          <w:tcPr>
            <w:tcW w:type="dxa" w:w="3000"/>
          </w:tcPr>
          <w:p>
            <w:r>
              <w:rPr>
                <w:b w:val="false"/>
                <w:bCs w:val="false"/>
                <w:color w:val="000000"/>
                <w:sz w:val="20"/>
                <w:szCs w:val="20"/>
              </w:rPr>
              <w:t xml:space="preserve">1</w:t>
            </w:r>
          </w:p>
        </w:tc>
        <w:tc>
          <w:tcPr>
            <w:tcW w:type="dxa" w:w="2500"/>
          </w:tcPr>
          <w:p>
            <w:r>
              <w:rPr>
                <w:b w:val="false"/>
                <w:bCs w:val="false"/>
                <w:color w:val="000000"/>
                <w:sz w:val="20"/>
                <w:szCs w:val="20"/>
              </w:rPr>
              <w:t xml:space="preserve">4,426</w:t>
            </w:r>
          </w:p>
        </w:tc>
        <w:tc>
          <w:tcPr>
            <w:tcW w:type="dxa" w:w="2000"/>
          </w:tcPr>
          <w:p>
            <w:r>
              <w:rPr>
                <w:b w:val="false"/>
                <w:bCs w:val="false"/>
                <w:color w:val="000000"/>
                <w:sz w:val="20"/>
                <w:szCs w:val="20"/>
              </w:rPr>
              <w:t xml:space="preserve">1,320</w:t>
            </w:r>
          </w:p>
        </w:tc>
        <w:tc>
          <w:tcPr>
            <w:tcW w:type="dxa" w:w="1800"/>
          </w:tcPr>
          <w:p>
            <w:r>
              <w:rPr>
                <w:b w:val="false"/>
                <w:bCs w:val="false"/>
                <w:color w:val="000000"/>
                <w:sz w:val="20"/>
                <w:szCs w:val="20"/>
              </w:rPr>
              <w:t xml:space="preserve">29.82%</w:t>
            </w:r>
          </w:p>
        </w:tc>
      </w:tr>
      <w:tr>
        <w:tc>
          <w:tcPr>
            <w:tcW w:type="dxa" w:w="3000"/>
          </w:tcPr>
          <w:p>
            <w:r>
              <w:rPr>
                <w:b w:val="false"/>
                <w:bCs w:val="false"/>
                <w:color w:val="000000"/>
                <w:sz w:val="20"/>
                <w:szCs w:val="20"/>
              </w:rPr>
              <w:t xml:space="preserve">2</w:t>
            </w:r>
          </w:p>
        </w:tc>
        <w:tc>
          <w:tcPr>
            <w:tcW w:type="dxa" w:w="2500"/>
          </w:tcPr>
          <w:p>
            <w:r>
              <w:rPr>
                <w:b w:val="false"/>
                <w:bCs w:val="false"/>
                <w:color w:val="000000"/>
                <w:sz w:val="20"/>
                <w:szCs w:val="20"/>
              </w:rPr>
              <w:t xml:space="preserve">1,899</w:t>
            </w:r>
          </w:p>
        </w:tc>
        <w:tc>
          <w:tcPr>
            <w:tcW w:type="dxa" w:w="2000"/>
          </w:tcPr>
          <w:p>
            <w:r>
              <w:rPr>
                <w:b w:val="false"/>
                <w:bCs w:val="false"/>
                <w:color w:val="000000"/>
                <w:sz w:val="20"/>
                <w:szCs w:val="20"/>
              </w:rPr>
              <w:t xml:space="preserve">736</w:t>
            </w:r>
          </w:p>
        </w:tc>
        <w:tc>
          <w:tcPr>
            <w:tcW w:type="dxa" w:w="1800"/>
          </w:tcPr>
          <w:p>
            <w:r>
              <w:rPr>
                <w:b w:val="false"/>
                <w:bCs w:val="false"/>
                <w:color w:val="000000"/>
                <w:sz w:val="20"/>
                <w:szCs w:val="20"/>
              </w:rPr>
              <w:t xml:space="preserve">38.76%</w:t>
            </w:r>
          </w:p>
        </w:tc>
      </w:tr>
      <w:tr>
        <w:tc>
          <w:tcPr>
            <w:tcW w:type="dxa" w:w="3000"/>
          </w:tcPr>
          <w:p>
            <w:r>
              <w:rPr>
                <w:b w:val="false"/>
                <w:bCs w:val="false"/>
                <w:color w:val="000000"/>
                <w:sz w:val="20"/>
                <w:szCs w:val="20"/>
              </w:rPr>
              <w:t xml:space="preserve">3</w:t>
            </w:r>
          </w:p>
        </w:tc>
        <w:tc>
          <w:tcPr>
            <w:tcW w:type="dxa" w:w="2500"/>
          </w:tcPr>
          <w:p>
            <w:r>
              <w:rPr>
                <w:b w:val="false"/>
                <w:bCs w:val="false"/>
                <w:color w:val="000000"/>
                <w:sz w:val="20"/>
                <w:szCs w:val="20"/>
              </w:rPr>
              <w:t xml:space="preserve">1,154</w:t>
            </w:r>
          </w:p>
        </w:tc>
        <w:tc>
          <w:tcPr>
            <w:tcW w:type="dxa" w:w="2000"/>
          </w:tcPr>
          <w:p>
            <w:r>
              <w:rPr>
                <w:b w:val="false"/>
                <w:bCs w:val="false"/>
                <w:color w:val="000000"/>
                <w:sz w:val="20"/>
                <w:szCs w:val="20"/>
              </w:rPr>
              <w:t xml:space="preserve">587</w:t>
            </w:r>
          </w:p>
        </w:tc>
        <w:tc>
          <w:tcPr>
            <w:tcW w:type="dxa" w:w="1800"/>
          </w:tcPr>
          <w:p>
            <w:r>
              <w:rPr>
                <w:b w:val="false"/>
                <w:bCs w:val="false"/>
                <w:color w:val="000000"/>
                <w:sz w:val="20"/>
                <w:szCs w:val="20"/>
              </w:rPr>
              <w:t xml:space="preserve">50.87%</w:t>
            </w:r>
          </w:p>
        </w:tc>
      </w:tr>
      <w:tr>
        <w:tc>
          <w:tcPr>
            <w:tcW w:type="dxa" w:w="3000"/>
          </w:tcPr>
          <w:p>
            <w:r>
              <w:rPr>
                <w:b w:val="false"/>
                <w:bCs w:val="false"/>
                <w:color w:val="000000"/>
                <w:sz w:val="20"/>
                <w:szCs w:val="20"/>
              </w:rPr>
              <w:t xml:space="preserve">4</w:t>
            </w:r>
          </w:p>
        </w:tc>
        <w:tc>
          <w:tcPr>
            <w:tcW w:type="dxa" w:w="2500"/>
          </w:tcPr>
          <w:p>
            <w:r>
              <w:rPr>
                <w:b w:val="false"/>
                <w:bCs w:val="false"/>
                <w:color w:val="000000"/>
                <w:sz w:val="20"/>
                <w:szCs w:val="20"/>
              </w:rPr>
              <w:t xml:space="preserve">951</w:t>
            </w:r>
          </w:p>
        </w:tc>
        <w:tc>
          <w:tcPr>
            <w:tcW w:type="dxa" w:w="2000"/>
          </w:tcPr>
          <w:p>
            <w:r>
              <w:rPr>
                <w:b w:val="false"/>
                <w:bCs w:val="false"/>
                <w:color w:val="000000"/>
                <w:sz w:val="20"/>
                <w:szCs w:val="20"/>
              </w:rPr>
              <w:t xml:space="preserve">545</w:t>
            </w:r>
          </w:p>
        </w:tc>
        <w:tc>
          <w:tcPr>
            <w:tcW w:type="dxa" w:w="1800"/>
          </w:tcPr>
          <w:p>
            <w:r>
              <w:rPr>
                <w:b w:val="false"/>
                <w:bCs w:val="false"/>
                <w:color w:val="000000"/>
                <w:sz w:val="20"/>
                <w:szCs w:val="20"/>
              </w:rPr>
              <w:t xml:space="preserve">57.31%</w:t>
            </w:r>
          </w:p>
        </w:tc>
      </w:tr>
      <w:tr>
        <w:tc>
          <w:tcPr>
            <w:tcW w:type="dxa" w:w="3000"/>
          </w:tcPr>
          <w:p>
            <w:r>
              <w:rPr>
                <w:b w:val="false"/>
                <w:bCs w:val="false"/>
                <w:color w:val="000000"/>
                <w:sz w:val="20"/>
                <w:szCs w:val="20"/>
              </w:rPr>
              <w:t xml:space="preserve">5</w:t>
            </w:r>
          </w:p>
        </w:tc>
        <w:tc>
          <w:tcPr>
            <w:tcW w:type="dxa" w:w="2500"/>
          </w:tcPr>
          <w:p>
            <w:r>
              <w:rPr>
                <w:b w:val="false"/>
                <w:bCs w:val="false"/>
                <w:color w:val="000000"/>
                <w:sz w:val="20"/>
                <w:szCs w:val="20"/>
              </w:rPr>
              <w:t xml:space="preserve">298</w:t>
            </w:r>
          </w:p>
        </w:tc>
        <w:tc>
          <w:tcPr>
            <w:tcW w:type="dxa" w:w="2000"/>
          </w:tcPr>
          <w:p>
            <w:r>
              <w:rPr>
                <w:b w:val="false"/>
                <w:bCs w:val="false"/>
                <w:color w:val="000000"/>
                <w:sz w:val="20"/>
                <w:szCs w:val="20"/>
              </w:rPr>
              <w:t xml:space="preserve">171</w:t>
            </w:r>
          </w:p>
        </w:tc>
        <w:tc>
          <w:tcPr>
            <w:tcW w:type="dxa" w:w="1800"/>
          </w:tcPr>
          <w:p>
            <w:r>
              <w:rPr>
                <w:b w:val="false"/>
                <w:bCs w:val="false"/>
                <w:color w:val="000000"/>
                <w:sz w:val="20"/>
                <w:szCs w:val="20"/>
              </w:rPr>
              <w:t xml:space="preserve">57.38%</w:t>
            </w:r>
          </w:p>
        </w:tc>
      </w:tr>
      <w:tr>
        <w:tc>
          <w:tcPr>
            <w:tcW w:type="dxa" w:w="3000"/>
          </w:tcPr>
          <w:p>
            <w:r>
              <w:rPr>
                <w:b w:val="false"/>
                <w:bCs w:val="false"/>
                <w:color w:val="000000"/>
                <w:sz w:val="20"/>
                <w:szCs w:val="20"/>
              </w:rPr>
              <w:t xml:space="preserve">6</w:t>
            </w:r>
          </w:p>
        </w:tc>
        <w:tc>
          <w:tcPr>
            <w:tcW w:type="dxa" w:w="2500"/>
          </w:tcPr>
          <w:p>
            <w:r>
              <w:rPr>
                <w:b w:val="false"/>
                <w:bCs w:val="false"/>
                <w:color w:val="000000"/>
                <w:sz w:val="20"/>
                <w:szCs w:val="20"/>
              </w:rPr>
              <w:t xml:space="preserve">1,341</w:t>
            </w:r>
          </w:p>
        </w:tc>
        <w:tc>
          <w:tcPr>
            <w:tcW w:type="dxa" w:w="2000"/>
          </w:tcPr>
          <w:p>
            <w:r>
              <w:rPr>
                <w:b w:val="false"/>
                <w:bCs w:val="false"/>
                <w:color w:val="000000"/>
                <w:sz w:val="20"/>
                <w:szCs w:val="20"/>
              </w:rPr>
              <w:t xml:space="preserve">943</w:t>
            </w:r>
          </w:p>
        </w:tc>
        <w:tc>
          <w:tcPr>
            <w:tcW w:type="dxa" w:w="1800"/>
          </w:tcPr>
          <w:p>
            <w:r>
              <w:rPr>
                <w:b w:val="false"/>
                <w:bCs w:val="false"/>
                <w:color w:val="000000"/>
                <w:sz w:val="20"/>
                <w:szCs w:val="20"/>
              </w:rPr>
              <w:t xml:space="preserve">70.32%</w:t>
            </w:r>
          </w:p>
        </w:tc>
      </w:tr>
    </w:tbl>
    <w:p>
      <w:pPr>
        <w:spacing w:after="200"/>
      </w:pPr>
      <w:r>
        <w:t xml:space="preserve">Nearly monotonic, and roughly a six-fold difference between the two ends. This became the backbone of everything that followed — every later analysis got tested against it.</w:t>
      </w:r>
    </w:p>
    <w:p>
      <w:pPr>
        <w:pStyle w:val="Heading2"/>
        <w:spacing w:after="150" w:before="300"/>
      </w:pPr>
      <w:r>
        <w:t xml:space="preserve">7.3 Does credit utilization matter too?</w:t>
      </w:r>
    </w:p>
    <w:p>
      <w:pPr>
        <w:spacing w:after="200"/>
      </w:pPr>
      <w:r>
        <w:t xml:space="preserve">I calculated each customer's average six-month bill balance as a percentage of their credit limit, banded it, and checked default rate per band. Utilization ranged from -23% to over 500% of the limit — some customers' average bill exceeded their credit limit by five times — and I kept those extremes rather than capping them, since they're observed behaviour, not calculation errors.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A4D" w:color="auto" w:val="clear"/>
          </w:tcPr>
          <w:p>
            <w:r>
              <w:rPr>
                <w:b/>
                <w:bCs/>
                <w:color w:val="FFFFFF"/>
                <w:sz w:val="20"/>
                <w:szCs w:val="20"/>
              </w:rPr>
              <w:t xml:space="preserve">Utilization band</w:t>
            </w:r>
          </w:p>
        </w:tc>
        <w:tc>
          <w:tcPr>
            <w:tcW w:type="dxa" w:w="3000"/>
            <w:shd w:fill="1F3A4D" w:color="auto" w:val="clear"/>
          </w:tcPr>
          <w:p>
            <w:r>
              <w:rPr>
                <w:b/>
                <w:bCs/>
                <w:color w:val="FFFFFF"/>
                <w:sz w:val="20"/>
                <w:szCs w:val="20"/>
              </w:rPr>
              <w:t xml:space="preserve">Customers</w:t>
            </w:r>
          </w:p>
        </w:tc>
        <w:tc>
          <w:tcPr>
            <w:tcW w:type="dxa" w:w="3300"/>
            <w:shd w:fill="1F3A4D" w:color="auto" w:val="clear"/>
          </w:tcPr>
          <w:p>
            <w:r>
              <w:rPr>
                <w:b/>
                <w:bCs/>
                <w:color w:val="FFFFFF"/>
                <w:sz w:val="20"/>
                <w:szCs w:val="20"/>
              </w:rPr>
              <w:t xml:space="preserve">Default rate</w:t>
            </w:r>
          </w:p>
        </w:tc>
      </w:tr>
      <w:tr>
        <w:tc>
          <w:tcPr>
            <w:tcW w:type="dxa" w:w="3000"/>
          </w:tcPr>
          <w:p>
            <w:r>
              <w:rPr>
                <w:b w:val="false"/>
                <w:bCs w:val="false"/>
                <w:color w:val="000000"/>
                <w:sz w:val="20"/>
                <w:szCs w:val="20"/>
              </w:rPr>
              <w:t xml:space="preserve">&lt;0%</w:t>
            </w:r>
          </w:p>
        </w:tc>
        <w:tc>
          <w:tcPr>
            <w:tcW w:type="dxa" w:w="3000"/>
          </w:tcPr>
          <w:p>
            <w:r>
              <w:rPr>
                <w:b w:val="false"/>
                <w:bCs w:val="false"/>
                <w:color w:val="000000"/>
                <w:sz w:val="20"/>
                <w:szCs w:val="20"/>
              </w:rPr>
              <w:t xml:space="preserve">201</w:t>
            </w:r>
          </w:p>
        </w:tc>
        <w:tc>
          <w:tcPr>
            <w:tcW w:type="dxa" w:w="3300"/>
          </w:tcPr>
          <w:p>
            <w:r>
              <w:rPr>
                <w:b w:val="false"/>
                <w:bCs w:val="false"/>
                <w:color w:val="000000"/>
                <w:sz w:val="20"/>
                <w:szCs w:val="20"/>
              </w:rPr>
              <w:t xml:space="preserve">25.37%</w:t>
            </w:r>
          </w:p>
        </w:tc>
      </w:tr>
      <w:tr>
        <w:tc>
          <w:tcPr>
            <w:tcW w:type="dxa" w:w="3000"/>
          </w:tcPr>
          <w:p>
            <w:r>
              <w:rPr>
                <w:b w:val="false"/>
                <w:bCs w:val="false"/>
                <w:color w:val="000000"/>
                <w:sz w:val="20"/>
                <w:szCs w:val="20"/>
              </w:rPr>
              <w:t xml:space="preserve">0–24%</w:t>
            </w:r>
          </w:p>
        </w:tc>
        <w:tc>
          <w:tcPr>
            <w:tcW w:type="dxa" w:w="3000"/>
          </w:tcPr>
          <w:p>
            <w:r>
              <w:rPr>
                <w:b w:val="false"/>
                <w:bCs w:val="false"/>
                <w:color w:val="000000"/>
                <w:sz w:val="20"/>
                <w:szCs w:val="20"/>
              </w:rPr>
              <w:t xml:space="preserve">14,185</w:t>
            </w:r>
          </w:p>
        </w:tc>
        <w:tc>
          <w:tcPr>
            <w:tcW w:type="dxa" w:w="3300"/>
          </w:tcPr>
          <w:p>
            <w:r>
              <w:rPr>
                <w:b w:val="false"/>
                <w:bCs w:val="false"/>
                <w:color w:val="000000"/>
                <w:sz w:val="20"/>
                <w:szCs w:val="20"/>
              </w:rPr>
              <w:t xml:space="preserve">17.86%</w:t>
            </w:r>
          </w:p>
        </w:tc>
      </w:tr>
      <w:tr>
        <w:tc>
          <w:tcPr>
            <w:tcW w:type="dxa" w:w="3000"/>
          </w:tcPr>
          <w:p>
            <w:r>
              <w:rPr>
                <w:b w:val="false"/>
                <w:bCs w:val="false"/>
                <w:color w:val="000000"/>
                <w:sz w:val="20"/>
                <w:szCs w:val="20"/>
              </w:rPr>
              <w:t xml:space="preserve">25–49%</w:t>
            </w:r>
          </w:p>
        </w:tc>
        <w:tc>
          <w:tcPr>
            <w:tcW w:type="dxa" w:w="3000"/>
          </w:tcPr>
          <w:p>
            <w:r>
              <w:rPr>
                <w:b w:val="false"/>
                <w:bCs w:val="false"/>
                <w:color w:val="000000"/>
                <w:sz w:val="20"/>
                <w:szCs w:val="20"/>
              </w:rPr>
              <w:t xml:space="preserve">4,555</w:t>
            </w:r>
          </w:p>
        </w:tc>
        <w:tc>
          <w:tcPr>
            <w:tcW w:type="dxa" w:w="3300"/>
          </w:tcPr>
          <w:p>
            <w:r>
              <w:rPr>
                <w:b w:val="false"/>
                <w:bCs w:val="false"/>
                <w:color w:val="000000"/>
                <w:sz w:val="20"/>
                <w:szCs w:val="20"/>
              </w:rPr>
              <w:t xml:space="preserve">19.87%</w:t>
            </w:r>
          </w:p>
        </w:tc>
      </w:tr>
      <w:tr>
        <w:tc>
          <w:tcPr>
            <w:tcW w:type="dxa" w:w="3000"/>
          </w:tcPr>
          <w:p>
            <w:r>
              <w:rPr>
                <w:b w:val="false"/>
                <w:bCs w:val="false"/>
                <w:color w:val="000000"/>
                <w:sz w:val="20"/>
                <w:szCs w:val="20"/>
              </w:rPr>
              <w:t xml:space="preserve">50–74%</w:t>
            </w:r>
          </w:p>
        </w:tc>
        <w:tc>
          <w:tcPr>
            <w:tcW w:type="dxa" w:w="3000"/>
          </w:tcPr>
          <w:p>
            <w:r>
              <w:rPr>
                <w:b w:val="false"/>
                <w:bCs w:val="false"/>
                <w:color w:val="000000"/>
                <w:sz w:val="20"/>
                <w:szCs w:val="20"/>
              </w:rPr>
              <w:t xml:space="preserve">4,877</w:t>
            </w:r>
          </w:p>
        </w:tc>
        <w:tc>
          <w:tcPr>
            <w:tcW w:type="dxa" w:w="3300"/>
          </w:tcPr>
          <w:p>
            <w:r>
              <w:rPr>
                <w:b w:val="false"/>
                <w:bCs w:val="false"/>
                <w:color w:val="000000"/>
                <w:sz w:val="20"/>
                <w:szCs w:val="20"/>
              </w:rPr>
              <w:t xml:space="preserve">25.10%</w:t>
            </w:r>
          </w:p>
        </w:tc>
      </w:tr>
      <w:tr>
        <w:tc>
          <w:tcPr>
            <w:tcW w:type="dxa" w:w="3000"/>
          </w:tcPr>
          <w:p>
            <w:r>
              <w:rPr>
                <w:b w:val="false"/>
                <w:bCs w:val="false"/>
                <w:color w:val="000000"/>
                <w:sz w:val="20"/>
                <w:szCs w:val="20"/>
              </w:rPr>
              <w:t xml:space="preserve">75–99%</w:t>
            </w:r>
          </w:p>
        </w:tc>
        <w:tc>
          <w:tcPr>
            <w:tcW w:type="dxa" w:w="3000"/>
          </w:tcPr>
          <w:p>
            <w:r>
              <w:rPr>
                <w:b w:val="false"/>
                <w:bCs w:val="false"/>
                <w:color w:val="000000"/>
                <w:sz w:val="20"/>
                <w:szCs w:val="20"/>
              </w:rPr>
              <w:t xml:space="preserve">5,545</w:t>
            </w:r>
          </w:p>
        </w:tc>
        <w:tc>
          <w:tcPr>
            <w:tcW w:type="dxa" w:w="3300"/>
          </w:tcPr>
          <w:p>
            <w:r>
              <w:rPr>
                <w:b w:val="false"/>
                <w:bCs w:val="false"/>
                <w:color w:val="000000"/>
                <w:sz w:val="20"/>
                <w:szCs w:val="20"/>
              </w:rPr>
              <w:t xml:space="preserve">30.73%</w:t>
            </w:r>
          </w:p>
        </w:tc>
      </w:tr>
      <w:tr>
        <w:tc>
          <w:tcPr>
            <w:tcW w:type="dxa" w:w="3000"/>
          </w:tcPr>
          <w:p>
            <w:r>
              <w:rPr>
                <w:b w:val="false"/>
                <w:bCs w:val="false"/>
                <w:color w:val="000000"/>
                <w:sz w:val="20"/>
                <w:szCs w:val="20"/>
              </w:rPr>
              <w:t xml:space="preserve">100%+</w:t>
            </w:r>
          </w:p>
        </w:tc>
        <w:tc>
          <w:tcPr>
            <w:tcW w:type="dxa" w:w="3000"/>
          </w:tcPr>
          <w:p>
            <w:r>
              <w:rPr>
                <w:b w:val="false"/>
                <w:bCs w:val="false"/>
                <w:color w:val="000000"/>
                <w:sz w:val="20"/>
                <w:szCs w:val="20"/>
              </w:rPr>
              <w:t xml:space="preserve">637</w:t>
            </w:r>
          </w:p>
        </w:tc>
        <w:tc>
          <w:tcPr>
            <w:tcW w:type="dxa" w:w="3300"/>
          </w:tcPr>
          <w:p>
            <w:r>
              <w:rPr>
                <w:b w:val="false"/>
                <w:bCs w:val="false"/>
                <w:color w:val="000000"/>
                <w:sz w:val="20"/>
                <w:szCs w:val="20"/>
              </w:rPr>
              <w:t xml:space="preserve">34.22%</w:t>
            </w:r>
          </w:p>
        </w:tc>
      </w:tr>
    </w:tbl>
    <w:p>
      <w:pPr>
        <w:spacing w:after="200"/>
      </w:pPr>
      <w:r>
        <w:t xml:space="preserve">Real, but weaker than delinquency — roughly a two-fold spread, not six-fold. When I combined the two dimensions, delinquency dominated: customers with high utilization and no delinquency still only defaulted at 13.38%, barely above baseline, while low-utilization customers with persistent delinquency still hit 58.03%.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600"/>
            <w:shd w:fill="1F3A4D" w:color="auto" w:val="clear"/>
          </w:tcPr>
          <w:p>
            <w:r>
              <w:rPr>
                <w:b/>
                <w:bCs/>
                <w:color w:val="FFFFFF"/>
                <w:sz w:val="20"/>
                <w:szCs w:val="20"/>
              </w:rPr>
              <w:t xml:space="preserve">Behaviour combination</w:t>
            </w:r>
          </w:p>
        </w:tc>
        <w:tc>
          <w:tcPr>
            <w:tcW w:type="dxa" w:w="2200"/>
            <w:shd w:fill="1F3A4D" w:color="auto" w:val="clear"/>
          </w:tcPr>
          <w:p>
            <w:r>
              <w:rPr>
                <w:b/>
                <w:bCs/>
                <w:color w:val="FFFFFF"/>
                <w:sz w:val="20"/>
                <w:szCs w:val="20"/>
              </w:rPr>
              <w:t xml:space="preserve">Customers</w:t>
            </w:r>
          </w:p>
        </w:tc>
        <w:tc>
          <w:tcPr>
            <w:tcW w:type="dxa" w:w="2500"/>
            <w:shd w:fill="1F3A4D" w:color="auto" w:val="clear"/>
          </w:tcPr>
          <w:p>
            <w:r>
              <w:rPr>
                <w:b/>
                <w:bCs/>
                <w:color w:val="FFFFFF"/>
                <w:sz w:val="20"/>
                <w:szCs w:val="20"/>
              </w:rPr>
              <w:t xml:space="preserve">Default rate</w:t>
            </w:r>
          </w:p>
        </w:tc>
      </w:tr>
      <w:tr>
        <w:tc>
          <w:tcPr>
            <w:tcW w:type="dxa" w:w="4600"/>
          </w:tcPr>
          <w:p>
            <w:r>
              <w:rPr>
                <w:b w:val="false"/>
                <w:bCs w:val="false"/>
                <w:color w:val="000000"/>
                <w:sz w:val="20"/>
                <w:szCs w:val="20"/>
              </w:rPr>
              <w:t xml:space="preserve">High utilization + persistent delinquency</w:t>
            </w:r>
          </w:p>
        </w:tc>
        <w:tc>
          <w:tcPr>
            <w:tcW w:type="dxa" w:w="2200"/>
          </w:tcPr>
          <w:p>
            <w:r>
              <w:rPr>
                <w:b w:val="false"/>
                <w:bCs w:val="false"/>
                <w:color w:val="000000"/>
                <w:sz w:val="20"/>
                <w:szCs w:val="20"/>
              </w:rPr>
              <w:t xml:space="preserve">2,312</w:t>
            </w:r>
          </w:p>
        </w:tc>
        <w:tc>
          <w:tcPr>
            <w:tcW w:type="dxa" w:w="2500"/>
          </w:tcPr>
          <w:p>
            <w:r>
              <w:rPr>
                <w:b w:val="false"/>
                <w:bCs w:val="false"/>
                <w:color w:val="000000"/>
                <w:sz w:val="20"/>
                <w:szCs w:val="20"/>
              </w:rPr>
              <w:t xml:space="preserve">61.20%</w:t>
            </w:r>
          </w:p>
        </w:tc>
      </w:tr>
      <w:tr>
        <w:tc>
          <w:tcPr>
            <w:tcW w:type="dxa" w:w="4600"/>
          </w:tcPr>
          <w:p>
            <w:r>
              <w:rPr>
                <w:b w:val="false"/>
                <w:bCs w:val="false"/>
                <w:color w:val="000000"/>
                <w:sz w:val="20"/>
                <w:szCs w:val="20"/>
              </w:rPr>
              <w:t xml:space="preserve">Low utilization + persistent delinquency</w:t>
            </w:r>
          </w:p>
        </w:tc>
        <w:tc>
          <w:tcPr>
            <w:tcW w:type="dxa" w:w="2200"/>
          </w:tcPr>
          <w:p>
            <w:r>
              <w:rPr>
                <w:b w:val="false"/>
                <w:bCs w:val="false"/>
                <w:color w:val="000000"/>
                <w:sz w:val="20"/>
                <w:szCs w:val="20"/>
              </w:rPr>
              <w:t xml:space="preserve">1,432</w:t>
            </w:r>
          </w:p>
        </w:tc>
        <w:tc>
          <w:tcPr>
            <w:tcW w:type="dxa" w:w="2500"/>
          </w:tcPr>
          <w:p>
            <w:r>
              <w:rPr>
                <w:b w:val="false"/>
                <w:bCs w:val="false"/>
                <w:color w:val="000000"/>
                <w:sz w:val="20"/>
                <w:szCs w:val="20"/>
              </w:rPr>
              <w:t xml:space="preserve">58.03%</w:t>
            </w:r>
          </w:p>
        </w:tc>
      </w:tr>
      <w:tr>
        <w:tc>
          <w:tcPr>
            <w:tcW w:type="dxa" w:w="4600"/>
          </w:tcPr>
          <w:p>
            <w:r>
              <w:rPr>
                <w:b w:val="false"/>
                <w:bCs w:val="false"/>
                <w:color w:val="000000"/>
                <w:sz w:val="20"/>
                <w:szCs w:val="20"/>
              </w:rPr>
              <w:t xml:space="preserve">High utilization + occasional delinquency</w:t>
            </w:r>
          </w:p>
        </w:tc>
        <w:tc>
          <w:tcPr>
            <w:tcW w:type="dxa" w:w="2200"/>
          </w:tcPr>
          <w:p>
            <w:r>
              <w:rPr>
                <w:b w:val="false"/>
                <w:bCs w:val="false"/>
                <w:color w:val="000000"/>
                <w:sz w:val="20"/>
                <w:szCs w:val="20"/>
              </w:rPr>
              <w:t xml:space="preserve">2,235</w:t>
            </w:r>
          </w:p>
        </w:tc>
        <w:tc>
          <w:tcPr>
            <w:tcW w:type="dxa" w:w="2500"/>
          </w:tcPr>
          <w:p>
            <w:r>
              <w:rPr>
                <w:b w:val="false"/>
                <w:bCs w:val="false"/>
                <w:color w:val="000000"/>
                <w:sz w:val="20"/>
                <w:szCs w:val="20"/>
              </w:rPr>
              <w:t xml:space="preserve">38.48%</w:t>
            </w:r>
          </w:p>
        </w:tc>
      </w:tr>
      <w:tr>
        <w:tc>
          <w:tcPr>
            <w:tcW w:type="dxa" w:w="4600"/>
          </w:tcPr>
          <w:p>
            <w:r>
              <w:rPr>
                <w:b w:val="false"/>
                <w:bCs w:val="false"/>
                <w:color w:val="000000"/>
                <w:sz w:val="20"/>
                <w:szCs w:val="20"/>
              </w:rPr>
              <w:t xml:space="preserve">Low utilization + occasional delinquency</w:t>
            </w:r>
          </w:p>
        </w:tc>
        <w:tc>
          <w:tcPr>
            <w:tcW w:type="dxa" w:w="2200"/>
          </w:tcPr>
          <w:p>
            <w:r>
              <w:rPr>
                <w:b w:val="false"/>
                <w:bCs w:val="false"/>
                <w:color w:val="000000"/>
                <w:sz w:val="20"/>
                <w:szCs w:val="20"/>
              </w:rPr>
              <w:t xml:space="preserve">4,090</w:t>
            </w:r>
          </w:p>
        </w:tc>
        <w:tc>
          <w:tcPr>
            <w:tcW w:type="dxa" w:w="2500"/>
          </w:tcPr>
          <w:p>
            <w:r>
              <w:rPr>
                <w:b w:val="false"/>
                <w:bCs w:val="false"/>
                <w:color w:val="000000"/>
                <w:sz w:val="20"/>
                <w:szCs w:val="20"/>
              </w:rPr>
              <w:t xml:space="preserve">29.24%</w:t>
            </w:r>
          </w:p>
        </w:tc>
      </w:tr>
      <w:tr>
        <w:tc>
          <w:tcPr>
            <w:tcW w:type="dxa" w:w="4600"/>
          </w:tcPr>
          <w:p>
            <w:r>
              <w:rPr>
                <w:b w:val="false"/>
                <w:bCs w:val="false"/>
                <w:color w:val="000000"/>
                <w:sz w:val="20"/>
                <w:szCs w:val="20"/>
              </w:rPr>
              <w:t xml:space="preserve">High utilization + no delinquency</w:t>
            </w:r>
          </w:p>
        </w:tc>
        <w:tc>
          <w:tcPr>
            <w:tcW w:type="dxa" w:w="2200"/>
          </w:tcPr>
          <w:p>
            <w:r>
              <w:rPr>
                <w:b w:val="false"/>
                <w:bCs w:val="false"/>
                <w:color w:val="000000"/>
                <w:sz w:val="20"/>
                <w:szCs w:val="20"/>
              </w:rPr>
              <w:t xml:space="preserve">6,512</w:t>
            </w:r>
          </w:p>
        </w:tc>
        <w:tc>
          <w:tcPr>
            <w:tcW w:type="dxa" w:w="2500"/>
          </w:tcPr>
          <w:p>
            <w:r>
              <w:rPr>
                <w:b w:val="false"/>
                <w:bCs w:val="false"/>
                <w:color w:val="000000"/>
                <w:sz w:val="20"/>
                <w:szCs w:val="20"/>
              </w:rPr>
              <w:t xml:space="preserve">13.38%</w:t>
            </w:r>
          </w:p>
        </w:tc>
      </w:tr>
      <w:tr>
        <w:tc>
          <w:tcPr>
            <w:tcW w:type="dxa" w:w="4600"/>
          </w:tcPr>
          <w:p>
            <w:r>
              <w:rPr>
                <w:b w:val="false"/>
                <w:bCs w:val="false"/>
                <w:color w:val="000000"/>
                <w:sz w:val="20"/>
                <w:szCs w:val="20"/>
              </w:rPr>
              <w:t xml:space="preserve">Low utilization + no delinquency</w:t>
            </w:r>
          </w:p>
        </w:tc>
        <w:tc>
          <w:tcPr>
            <w:tcW w:type="dxa" w:w="2200"/>
          </w:tcPr>
          <w:p>
            <w:r>
              <w:rPr>
                <w:b w:val="false"/>
                <w:bCs w:val="false"/>
                <w:color w:val="000000"/>
                <w:sz w:val="20"/>
                <w:szCs w:val="20"/>
              </w:rPr>
              <w:t xml:space="preserve">13,419</w:t>
            </w:r>
          </w:p>
        </w:tc>
        <w:tc>
          <w:tcPr>
            <w:tcW w:type="dxa" w:w="2500"/>
          </w:tcPr>
          <w:p>
            <w:r>
              <w:rPr>
                <w:b w:val="false"/>
                <w:bCs w:val="false"/>
                <w:color w:val="000000"/>
                <w:sz w:val="20"/>
                <w:szCs w:val="20"/>
              </w:rPr>
              <w:t xml:space="preserve">10.90%</w:t>
            </w:r>
          </w:p>
        </w:tc>
      </w:tr>
    </w:tbl>
    <w:p>
      <w:pPr>
        <w:pStyle w:val="Heading2"/>
        <w:spacing w:after="150" w:before="300"/>
      </w:pPr>
      <w:r>
        <w:t xml:space="preserve">7.4 What about how much they actually pay?</w:t>
      </w:r>
    </w:p>
    <w:p>
      <w:pPr>
        <w:spacing w:after="200"/>
      </w:pPr>
      <w:r>
        <w:t xml:space="preserve">I defined a payment ratio — six-month total payments divided by six-month total billed amount — and profiled it before banding it. The mean came out to 48.65%, but that number turned out to be misleading: I used a window function, PERCENT_RANK() OVER (ORDER BY payment_ratio_pct), to check the actual percentiles rather than trust the mean.</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WITH ranked AS (</w:t>
      </w:r>
      <w:r>
        <w:rPr>
          <w:rFonts w:ascii="Consolas" w:cs="Consolas" w:eastAsia="Consolas" w:hAnsi="Consolas"/>
          <w:sz w:val="18"/>
          <w:szCs w:val="18"/>
        </w:rPr>
        <w:br/>
        <w:t xml:space="preserve">    SELECT customer_id, payment_ratio_pct,</w:t>
      </w:r>
      <w:r>
        <w:rPr>
          <w:rFonts w:ascii="Consolas" w:cs="Consolas" w:eastAsia="Consolas" w:hAnsi="Consolas"/>
          <w:sz w:val="18"/>
          <w:szCs w:val="18"/>
        </w:rPr>
        <w:br/>
        <w:t xml:space="preserve">        PERCENT_RANK() OVER (ORDER BY payment_ratio_pct) AS percentile_rank</w:t>
      </w:r>
      <w:r>
        <w:rPr>
          <w:rFonts w:ascii="Consolas" w:cs="Consolas" w:eastAsia="Consolas" w:hAnsi="Consolas"/>
          <w:sz w:val="18"/>
          <w:szCs w:val="18"/>
        </w:rPr>
        <w:br/>
        <w:t xml:space="preserve">    FROM payment_ratio</w:t>
      </w:r>
      <w:r>
        <w:rPr>
          <w:rFonts w:ascii="Consolas" w:cs="Consolas" w:eastAsia="Consolas" w:hAnsi="Consolas"/>
          <w:sz w:val="18"/>
          <w:szCs w:val="18"/>
        </w:rPr>
        <w:br/>
        <w:t xml:space="preserve">)</w:t>
      </w:r>
      <w:r>
        <w:rPr>
          <w:rFonts w:ascii="Consolas" w:cs="Consolas" w:eastAsia="Consolas" w:hAnsi="Consolas"/>
          <w:sz w:val="18"/>
          <w:szCs w:val="18"/>
        </w:rPr>
        <w:br/>
        <w:t xml:space="preserve">SELECT</w:t>
      </w:r>
      <w:r>
        <w:rPr>
          <w:rFonts w:ascii="Consolas" w:cs="Consolas" w:eastAsia="Consolas" w:hAnsi="Consolas"/>
          <w:sz w:val="18"/>
          <w:szCs w:val="18"/>
        </w:rPr>
        <w:br/>
        <w:t xml:space="preserve">    MIN(CASE WHEN percentile_rank &gt;= 0.25 THEN payment_ratio_pct END) AS p25,</w:t>
      </w:r>
      <w:r>
        <w:rPr>
          <w:rFonts w:ascii="Consolas" w:cs="Consolas" w:eastAsia="Consolas" w:hAnsi="Consolas"/>
          <w:sz w:val="18"/>
          <w:szCs w:val="18"/>
        </w:rPr>
        <w:br/>
        <w:t xml:space="preserve">    MIN(CASE WHEN percentile_rank &gt;= 0.50 THEN payment_ratio_pct END) AS median_p50,</w:t>
      </w:r>
      <w:r>
        <w:rPr>
          <w:rFonts w:ascii="Consolas" w:cs="Consolas" w:eastAsia="Consolas" w:hAnsi="Consolas"/>
          <w:sz w:val="18"/>
          <w:szCs w:val="18"/>
        </w:rPr>
        <w:br/>
        <w:t xml:space="preserve">    MIN(CASE WHEN percentile_rank &gt;= 0.90 THEN payment_ratio_pct END) AS p90,</w:t>
      </w:r>
      <w:r>
        <w:rPr>
          <w:rFonts w:ascii="Consolas" w:cs="Consolas" w:eastAsia="Consolas" w:hAnsi="Consolas"/>
          <w:sz w:val="18"/>
          <w:szCs w:val="18"/>
        </w:rPr>
        <w:br/>
        <w:t xml:space="preserve">    MIN(CASE WHEN percentile_rank &gt;= 0.99 THEN payment_ratio_pct END) AS p99</w:t>
      </w:r>
      <w:r>
        <w:rPr>
          <w:rFonts w:ascii="Consolas" w:cs="Consolas" w:eastAsia="Consolas" w:hAnsi="Consolas"/>
          <w:sz w:val="18"/>
          <w:szCs w:val="18"/>
        </w:rPr>
        <w:br/>
        <w:t xml:space="preserve">FROM ranked;</w:t>
      </w:r>
    </w:p>
    <w:p>
      <w:pPr>
        <w:spacing w:after="200"/>
      </w:pPr>
      <w:r>
        <w:t xml:space="preserve">The median came back at just 9.45% — nowhere near the 48.65% mean — confirming the distribution was heavily right-skewed by a small number of very high ratios. Among customers with a positive six-month billed amount (the population this ratio is defined for), the typical eligible customer was paying less than 10% of their six-month billed total, despite a mean of 48.65%. That's the actual reason I banded this variable into business-meaningful groups instead of treating it as roughly normal — a naive mean would have badly misrepresented the typical customer.</w:t>
      </w:r>
    </w:p>
    <w:p>
      <w:pPr>
        <w:spacing w:after="200"/>
      </w:pPr>
      <w:r>
        <w:t xml:space="preserve">With that shape understood, I found something I didn't expect in the banded default rates: the relationship wasn't a clean line. Default risk fell sharply from 26.98% at very-low payment down to 14.43% at moderate payment, then flattened and even ticked back up slightly for high and very-high payment ratios. I didn't force this into a simple "more payment equals safer" story; I used it as a targeted risk modifier instead of a standalone score.</w:t>
      </w:r>
    </w:p>
    <w:p>
      <w:pPr>
        <w:spacing w:after="200"/>
      </w:pPr>
      <w:r>
        <w:t xml:space="preserve">One precision worth stating explicitly: this ratio is an analytical behavioural proxy based on monthly statement balances and payments, not a formal cash-flow repayment rate. Statement balances can carry forward across months, so it should not be read as "percentage of original debt repaid" — it's a consistent, comparable signal across customers, not an accounting measure.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300"/>
            <w:shd w:fill="1F3A4D" w:color="auto" w:val="clear"/>
          </w:tcPr>
          <w:p>
            <w:r>
              <w:rPr>
                <w:b/>
                <w:bCs/>
                <w:color w:val="FFFFFF"/>
                <w:sz w:val="20"/>
                <w:szCs w:val="20"/>
              </w:rPr>
              <w:t xml:space="preserve">Payment band</w:t>
            </w:r>
          </w:p>
        </w:tc>
        <w:tc>
          <w:tcPr>
            <w:tcW w:type="dxa" w:w="3000"/>
            <w:shd w:fill="1F3A4D" w:color="auto" w:val="clear"/>
          </w:tcPr>
          <w:p>
            <w:r>
              <w:rPr>
                <w:b/>
                <w:bCs/>
                <w:color w:val="FFFFFF"/>
                <w:sz w:val="20"/>
                <w:szCs w:val="20"/>
              </w:rPr>
              <w:t xml:space="preserve">Customers</w:t>
            </w:r>
          </w:p>
        </w:tc>
        <w:tc>
          <w:tcPr>
            <w:tcW w:type="dxa" w:w="3000"/>
            <w:shd w:fill="1F3A4D" w:color="auto" w:val="clear"/>
          </w:tcPr>
          <w:p>
            <w:r>
              <w:rPr>
                <w:b/>
                <w:bCs/>
                <w:color w:val="FFFFFF"/>
                <w:sz w:val="20"/>
                <w:szCs w:val="20"/>
              </w:rPr>
              <w:t xml:space="preserve">Default rate</w:t>
            </w:r>
          </w:p>
        </w:tc>
      </w:tr>
      <w:tr>
        <w:tc>
          <w:tcPr>
            <w:tcW w:type="dxa" w:w="3300"/>
          </w:tcPr>
          <w:p>
            <w:r>
              <w:rPr>
                <w:b w:val="false"/>
                <w:bCs w:val="false"/>
                <w:color w:val="000000"/>
                <w:sz w:val="20"/>
                <w:szCs w:val="20"/>
              </w:rPr>
              <w:t xml:space="preserve">Very Low (&lt;10%)</w:t>
            </w:r>
          </w:p>
        </w:tc>
        <w:tc>
          <w:tcPr>
            <w:tcW w:type="dxa" w:w="3000"/>
          </w:tcPr>
          <w:p>
            <w:r>
              <w:rPr>
                <w:b w:val="false"/>
                <w:bCs w:val="false"/>
                <w:color w:val="000000"/>
                <w:sz w:val="20"/>
                <w:szCs w:val="20"/>
              </w:rPr>
              <w:t xml:space="preserve">14,720</w:t>
            </w:r>
          </w:p>
        </w:tc>
        <w:tc>
          <w:tcPr>
            <w:tcW w:type="dxa" w:w="3000"/>
          </w:tcPr>
          <w:p>
            <w:r>
              <w:rPr>
                <w:b w:val="false"/>
                <w:bCs w:val="false"/>
                <w:color w:val="000000"/>
                <w:sz w:val="20"/>
                <w:szCs w:val="20"/>
              </w:rPr>
              <w:t xml:space="preserve">26.98%</w:t>
            </w:r>
          </w:p>
        </w:tc>
      </w:tr>
      <w:tr>
        <w:tc>
          <w:tcPr>
            <w:tcW w:type="dxa" w:w="3300"/>
          </w:tcPr>
          <w:p>
            <w:r>
              <w:rPr>
                <w:b w:val="false"/>
                <w:bCs w:val="false"/>
                <w:color w:val="000000"/>
                <w:sz w:val="20"/>
                <w:szCs w:val="20"/>
              </w:rPr>
              <w:t xml:space="preserve">Low (10–24%)</w:t>
            </w:r>
          </w:p>
        </w:tc>
        <w:tc>
          <w:tcPr>
            <w:tcW w:type="dxa" w:w="3000"/>
          </w:tcPr>
          <w:p>
            <w:r>
              <w:rPr>
                <w:b w:val="false"/>
                <w:bCs w:val="false"/>
                <w:color w:val="000000"/>
                <w:sz w:val="20"/>
                <w:szCs w:val="20"/>
              </w:rPr>
              <w:t xml:space="preserve">3,348</w:t>
            </w:r>
          </w:p>
        </w:tc>
        <w:tc>
          <w:tcPr>
            <w:tcW w:type="dxa" w:w="3000"/>
          </w:tcPr>
          <w:p>
            <w:r>
              <w:rPr>
                <w:b w:val="false"/>
                <w:bCs w:val="false"/>
                <w:color w:val="000000"/>
                <w:sz w:val="20"/>
                <w:szCs w:val="20"/>
              </w:rPr>
              <w:t xml:space="preserve">19.77%</w:t>
            </w:r>
          </w:p>
        </w:tc>
      </w:tr>
      <w:tr>
        <w:tc>
          <w:tcPr>
            <w:tcW w:type="dxa" w:w="3300"/>
          </w:tcPr>
          <w:p>
            <w:r>
              <w:rPr>
                <w:b w:val="false"/>
                <w:bCs w:val="false"/>
                <w:color w:val="000000"/>
                <w:sz w:val="20"/>
                <w:szCs w:val="20"/>
              </w:rPr>
              <w:t xml:space="preserve">Moderate (25–49%)</w:t>
            </w:r>
          </w:p>
        </w:tc>
        <w:tc>
          <w:tcPr>
            <w:tcW w:type="dxa" w:w="3000"/>
          </w:tcPr>
          <w:p>
            <w:r>
              <w:rPr>
                <w:b w:val="false"/>
                <w:bCs w:val="false"/>
                <w:color w:val="000000"/>
                <w:sz w:val="20"/>
                <w:szCs w:val="20"/>
              </w:rPr>
              <w:t xml:space="preserve">2,558</w:t>
            </w:r>
          </w:p>
        </w:tc>
        <w:tc>
          <w:tcPr>
            <w:tcW w:type="dxa" w:w="3000"/>
          </w:tcPr>
          <w:p>
            <w:r>
              <w:rPr>
                <w:b w:val="false"/>
                <w:bCs w:val="false"/>
                <w:color w:val="000000"/>
                <w:sz w:val="20"/>
                <w:szCs w:val="20"/>
              </w:rPr>
              <w:t xml:space="preserve">14.43%</w:t>
            </w:r>
          </w:p>
        </w:tc>
      </w:tr>
      <w:tr>
        <w:tc>
          <w:tcPr>
            <w:tcW w:type="dxa" w:w="3300"/>
          </w:tcPr>
          <w:p>
            <w:r>
              <w:rPr>
                <w:b w:val="false"/>
                <w:bCs w:val="false"/>
                <w:color w:val="000000"/>
                <w:sz w:val="20"/>
                <w:szCs w:val="20"/>
              </w:rPr>
              <w:t xml:space="preserve">High (50–99%)</w:t>
            </w:r>
          </w:p>
        </w:tc>
        <w:tc>
          <w:tcPr>
            <w:tcW w:type="dxa" w:w="3000"/>
          </w:tcPr>
          <w:p>
            <w:r>
              <w:rPr>
                <w:b w:val="false"/>
                <w:bCs w:val="false"/>
                <w:color w:val="000000"/>
                <w:sz w:val="20"/>
                <w:szCs w:val="20"/>
              </w:rPr>
              <w:t xml:space="preserve">4,770</w:t>
            </w:r>
          </w:p>
        </w:tc>
        <w:tc>
          <w:tcPr>
            <w:tcW w:type="dxa" w:w="3000"/>
          </w:tcPr>
          <w:p>
            <w:r>
              <w:rPr>
                <w:b w:val="false"/>
                <w:bCs w:val="false"/>
                <w:color w:val="000000"/>
                <w:sz w:val="20"/>
                <w:szCs w:val="20"/>
              </w:rPr>
              <w:t xml:space="preserve">14.78%</w:t>
            </w:r>
          </w:p>
        </w:tc>
      </w:tr>
      <w:tr>
        <w:tc>
          <w:tcPr>
            <w:tcW w:type="dxa" w:w="3300"/>
          </w:tcPr>
          <w:p>
            <w:r>
              <w:rPr>
                <w:b w:val="false"/>
                <w:bCs w:val="false"/>
                <w:color w:val="000000"/>
                <w:sz w:val="20"/>
                <w:szCs w:val="20"/>
              </w:rPr>
              <w:t xml:space="preserve">Very High (100%+)</w:t>
            </w:r>
          </w:p>
        </w:tc>
        <w:tc>
          <w:tcPr>
            <w:tcW w:type="dxa" w:w="3000"/>
          </w:tcPr>
          <w:p>
            <w:r>
              <w:rPr>
                <w:b w:val="false"/>
                <w:bCs w:val="false"/>
                <w:color w:val="000000"/>
                <w:sz w:val="20"/>
                <w:szCs w:val="20"/>
              </w:rPr>
              <w:t xml:space="preserve">3,533</w:t>
            </w:r>
          </w:p>
        </w:tc>
        <w:tc>
          <w:tcPr>
            <w:tcW w:type="dxa" w:w="3000"/>
          </w:tcPr>
          <w:p>
            <w:r>
              <w:rPr>
                <w:b w:val="false"/>
                <w:bCs w:val="false"/>
                <w:color w:val="000000"/>
                <w:sz w:val="20"/>
                <w:szCs w:val="20"/>
              </w:rPr>
              <w:t xml:space="preserve">15.88%</w:t>
            </w:r>
          </w:p>
        </w:tc>
      </w:tr>
    </w:tbl>
    <w:p>
      <w:pPr>
        <w:pStyle w:val="Heading1"/>
        <w:spacing w:after="200" w:before="400"/>
      </w:pPr>
      <w:r>
        <w:t xml:space="preserve">8. The Hypothesis I Tested and Rejected</w:t>
      </w:r>
    </w:p>
    <w:p>
      <w:pPr>
        <w:spacing w:after="200"/>
      </w:pPr>
      <w:r>
        <w:t xml:space="preserve">At this point I had three behavioural signals — persistent delinquency, high utilization, very-low payment ratio — and the obvious next move was to combine them into a simple score: one point each, summed from 0 to 3. It looked good at first glance: default rate climbed cleanly from 14.11% with no flags to 61.72% with all three.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A4D" w:color="auto" w:val="clear"/>
          </w:tcPr>
          <w:p>
            <w:r>
              <w:rPr>
                <w:b/>
                <w:bCs/>
                <w:color w:val="FFFFFF"/>
                <w:sz w:val="20"/>
                <w:szCs w:val="20"/>
              </w:rPr>
              <w:t xml:space="preserve">Risk score</w:t>
            </w:r>
          </w:p>
        </w:tc>
        <w:tc>
          <w:tcPr>
            <w:tcW w:type="dxa" w:w="3000"/>
            <w:shd w:fill="1F3A4D" w:color="auto" w:val="clear"/>
          </w:tcPr>
          <w:p>
            <w:r>
              <w:rPr>
                <w:b/>
                <w:bCs/>
                <w:color w:val="FFFFFF"/>
                <w:sz w:val="20"/>
                <w:szCs w:val="20"/>
              </w:rPr>
              <w:t xml:space="preserve">Customers</w:t>
            </w:r>
          </w:p>
        </w:tc>
        <w:tc>
          <w:tcPr>
            <w:tcW w:type="dxa" w:w="3000"/>
            <w:shd w:fill="1F3A4D" w:color="auto" w:val="clear"/>
          </w:tcPr>
          <w:p>
            <w:r>
              <w:rPr>
                <w:b/>
                <w:bCs/>
                <w:color w:val="FFFFFF"/>
                <w:sz w:val="20"/>
                <w:szCs w:val="20"/>
              </w:rPr>
              <w:t xml:space="preserve">Default rate</w:t>
            </w:r>
          </w:p>
        </w:tc>
      </w:tr>
      <w:tr>
        <w:tc>
          <w:tcPr>
            <w:tcW w:type="dxa" w:w="3000"/>
          </w:tcPr>
          <w:p>
            <w:r>
              <w:rPr>
                <w:b w:val="false"/>
                <w:bCs w:val="false"/>
                <w:color w:val="000000"/>
                <w:sz w:val="20"/>
                <w:szCs w:val="20"/>
              </w:rPr>
              <w:t xml:space="preserve">0</w:t>
            </w:r>
          </w:p>
        </w:tc>
        <w:tc>
          <w:tcPr>
            <w:tcW w:type="dxa" w:w="3000"/>
          </w:tcPr>
          <w:p>
            <w:r>
              <w:rPr>
                <w:b w:val="false"/>
                <w:bCs w:val="false"/>
                <w:color w:val="000000"/>
                <w:sz w:val="20"/>
                <w:szCs w:val="20"/>
              </w:rPr>
              <w:t xml:space="preserve">12,137</w:t>
            </w:r>
          </w:p>
        </w:tc>
        <w:tc>
          <w:tcPr>
            <w:tcW w:type="dxa" w:w="3000"/>
          </w:tcPr>
          <w:p>
            <w:r>
              <w:rPr>
                <w:b w:val="false"/>
                <w:bCs w:val="false"/>
                <w:color w:val="000000"/>
                <w:sz w:val="20"/>
                <w:szCs w:val="20"/>
              </w:rPr>
              <w:t xml:space="preserve">14.11%</w:t>
            </w:r>
          </w:p>
        </w:tc>
      </w:tr>
      <w:tr>
        <w:tc>
          <w:tcPr>
            <w:tcW w:type="dxa" w:w="3000"/>
          </w:tcPr>
          <w:p>
            <w:r>
              <w:rPr>
                <w:b w:val="false"/>
                <w:bCs w:val="false"/>
                <w:color w:val="000000"/>
                <w:sz w:val="20"/>
                <w:szCs w:val="20"/>
              </w:rPr>
              <w:t xml:space="preserve">1</w:t>
            </w:r>
          </w:p>
        </w:tc>
        <w:tc>
          <w:tcPr>
            <w:tcW w:type="dxa" w:w="3000"/>
          </w:tcPr>
          <w:p>
            <w:r>
              <w:rPr>
                <w:b w:val="false"/>
                <w:bCs w:val="false"/>
                <w:color w:val="000000"/>
                <w:sz w:val="20"/>
                <w:szCs w:val="20"/>
              </w:rPr>
              <w:t xml:space="preserve">6,221</w:t>
            </w:r>
          </w:p>
        </w:tc>
        <w:tc>
          <w:tcPr>
            <w:tcW w:type="dxa" w:w="3000"/>
          </w:tcPr>
          <w:p>
            <w:r>
              <w:rPr>
                <w:b w:val="false"/>
                <w:bCs w:val="false"/>
                <w:color w:val="000000"/>
                <w:sz w:val="20"/>
                <w:szCs w:val="20"/>
              </w:rPr>
              <w:t xml:space="preserve">17.38%</w:t>
            </w:r>
          </w:p>
        </w:tc>
      </w:tr>
      <w:tr>
        <w:tc>
          <w:tcPr>
            <w:tcW w:type="dxa" w:w="3000"/>
          </w:tcPr>
          <w:p>
            <w:r>
              <w:rPr>
                <w:b w:val="false"/>
                <w:bCs w:val="false"/>
                <w:color w:val="000000"/>
                <w:sz w:val="20"/>
                <w:szCs w:val="20"/>
              </w:rPr>
              <w:t xml:space="preserve">2</w:t>
            </w:r>
          </w:p>
        </w:tc>
        <w:tc>
          <w:tcPr>
            <w:tcW w:type="dxa" w:w="3000"/>
          </w:tcPr>
          <w:p>
            <w:r>
              <w:rPr>
                <w:b w:val="false"/>
                <w:bCs w:val="false"/>
                <w:color w:val="000000"/>
                <w:sz w:val="20"/>
                <w:szCs w:val="20"/>
              </w:rPr>
              <w:t xml:space="preserve">8,416</w:t>
            </w:r>
          </w:p>
        </w:tc>
        <w:tc>
          <w:tcPr>
            <w:tcW w:type="dxa" w:w="3000"/>
          </w:tcPr>
          <w:p>
            <w:r>
              <w:rPr>
                <w:b w:val="false"/>
                <w:bCs w:val="false"/>
                <w:color w:val="000000"/>
                <w:sz w:val="20"/>
                <w:szCs w:val="20"/>
              </w:rPr>
              <w:t xml:space="preserve">25.49%</w:t>
            </w:r>
          </w:p>
        </w:tc>
      </w:tr>
      <w:tr>
        <w:tc>
          <w:tcPr>
            <w:tcW w:type="dxa" w:w="3000"/>
          </w:tcPr>
          <w:p>
            <w:r>
              <w:rPr>
                <w:b w:val="false"/>
                <w:bCs w:val="false"/>
                <w:color w:val="000000"/>
                <w:sz w:val="20"/>
                <w:szCs w:val="20"/>
              </w:rPr>
              <w:t xml:space="preserve">3</w:t>
            </w:r>
          </w:p>
        </w:tc>
        <w:tc>
          <w:tcPr>
            <w:tcW w:type="dxa" w:w="3000"/>
          </w:tcPr>
          <w:p>
            <w:r>
              <w:rPr>
                <w:b w:val="false"/>
                <w:bCs w:val="false"/>
                <w:color w:val="000000"/>
                <w:sz w:val="20"/>
                <w:szCs w:val="20"/>
              </w:rPr>
              <w:t xml:space="preserve">2,155</w:t>
            </w:r>
          </w:p>
        </w:tc>
        <w:tc>
          <w:tcPr>
            <w:tcW w:type="dxa" w:w="3000"/>
          </w:tcPr>
          <w:p>
            <w:r>
              <w:rPr>
                <w:b w:val="false"/>
                <w:bCs w:val="false"/>
                <w:color w:val="000000"/>
                <w:sz w:val="20"/>
                <w:szCs w:val="20"/>
              </w:rPr>
              <w:t xml:space="preserve">61.72%</w:t>
            </w:r>
          </w:p>
        </w:tc>
      </w:tr>
    </w:tbl>
    <w:p>
      <w:pPr>
        <w:spacing w:after="200"/>
      </w:pPr>
      <w:r>
        <w:t xml:space="preserve">But a score that looks clean can still be hiding something underneath it, so I broke it down into its eight individual flag combinations before trusting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600"/>
            <w:shd w:fill="1F3A4D" w:color="auto" w:val="clear"/>
          </w:tcPr>
          <w:p>
            <w:r>
              <w:rPr>
                <w:b/>
                <w:bCs/>
                <w:color w:val="FFFFFF"/>
                <w:sz w:val="20"/>
                <w:szCs w:val="20"/>
              </w:rPr>
              <w:t xml:space="preserve">Flags present</w:t>
            </w:r>
          </w:p>
        </w:tc>
        <w:tc>
          <w:tcPr>
            <w:tcW w:type="dxa" w:w="2200"/>
            <w:shd w:fill="1F3A4D" w:color="auto" w:val="clear"/>
          </w:tcPr>
          <w:p>
            <w:r>
              <w:rPr>
                <w:b/>
                <w:bCs/>
                <w:color w:val="FFFFFF"/>
                <w:sz w:val="20"/>
                <w:szCs w:val="20"/>
              </w:rPr>
              <w:t xml:space="preserve">Customers</w:t>
            </w:r>
          </w:p>
        </w:tc>
        <w:tc>
          <w:tcPr>
            <w:tcW w:type="dxa" w:w="2500"/>
            <w:shd w:fill="1F3A4D" w:color="auto" w:val="clear"/>
          </w:tcPr>
          <w:p>
            <w:r>
              <w:rPr>
                <w:b/>
                <w:bCs/>
                <w:color w:val="FFFFFF"/>
                <w:sz w:val="20"/>
                <w:szCs w:val="20"/>
              </w:rPr>
              <w:t xml:space="preserve">Default rate</w:t>
            </w:r>
          </w:p>
        </w:tc>
      </w:tr>
      <w:tr>
        <w:tc>
          <w:tcPr>
            <w:tcW w:type="dxa" w:w="4600"/>
          </w:tcPr>
          <w:p>
            <w:r>
              <w:rPr>
                <w:b w:val="false"/>
                <w:bCs w:val="false"/>
                <w:color w:val="000000"/>
                <w:sz w:val="20"/>
                <w:szCs w:val="20"/>
              </w:rPr>
              <w:t xml:space="preserve">Persistent delinquency only</w:t>
            </w:r>
          </w:p>
        </w:tc>
        <w:tc>
          <w:tcPr>
            <w:tcW w:type="dxa" w:w="2200"/>
          </w:tcPr>
          <w:p>
            <w:r>
              <w:rPr>
                <w:b w:val="false"/>
                <w:bCs w:val="false"/>
                <w:color w:val="000000"/>
                <w:sz w:val="20"/>
                <w:szCs w:val="20"/>
              </w:rPr>
              <w:t xml:space="preserve">484</w:t>
            </w:r>
          </w:p>
        </w:tc>
        <w:tc>
          <w:tcPr>
            <w:tcW w:type="dxa" w:w="2500"/>
          </w:tcPr>
          <w:p>
            <w:r>
              <w:rPr>
                <w:b w:val="false"/>
                <w:bCs w:val="false"/>
                <w:color w:val="000000"/>
                <w:sz w:val="20"/>
                <w:szCs w:val="20"/>
              </w:rPr>
              <w:t xml:space="preserve">48.55%</w:t>
            </w:r>
          </w:p>
        </w:tc>
      </w:tr>
      <w:tr>
        <w:tc>
          <w:tcPr>
            <w:tcW w:type="dxa" w:w="4600"/>
          </w:tcPr>
          <w:p>
            <w:r>
              <w:rPr>
                <w:b w:val="false"/>
                <w:bCs w:val="false"/>
                <w:color w:val="000000"/>
                <w:sz w:val="20"/>
                <w:szCs w:val="20"/>
              </w:rPr>
              <w:t xml:space="preserve">High utilization only</w:t>
            </w:r>
          </w:p>
        </w:tc>
        <w:tc>
          <w:tcPr>
            <w:tcW w:type="dxa" w:w="2200"/>
          </w:tcPr>
          <w:p>
            <w:r>
              <w:rPr>
                <w:b w:val="false"/>
                <w:bCs w:val="false"/>
                <w:color w:val="000000"/>
                <w:sz w:val="20"/>
                <w:szCs w:val="20"/>
              </w:rPr>
              <w:t xml:space="preserve">1,431</w:t>
            </w:r>
          </w:p>
        </w:tc>
        <w:tc>
          <w:tcPr>
            <w:tcW w:type="dxa" w:w="2500"/>
          </w:tcPr>
          <w:p>
            <w:r>
              <w:rPr>
                <w:b w:val="false"/>
                <w:bCs w:val="false"/>
                <w:color w:val="000000"/>
                <w:sz w:val="20"/>
                <w:szCs w:val="20"/>
              </w:rPr>
              <w:t xml:space="preserve">18.52%</w:t>
            </w:r>
          </w:p>
        </w:tc>
      </w:tr>
      <w:tr>
        <w:tc>
          <w:tcPr>
            <w:tcW w:type="dxa" w:w="4600"/>
          </w:tcPr>
          <w:p>
            <w:r>
              <w:rPr>
                <w:b w:val="false"/>
                <w:bCs w:val="false"/>
                <w:color w:val="000000"/>
                <w:sz w:val="20"/>
                <w:szCs w:val="20"/>
              </w:rPr>
              <w:t xml:space="preserve">Very low payment only</w:t>
            </w:r>
          </w:p>
        </w:tc>
        <w:tc>
          <w:tcPr>
            <w:tcW w:type="dxa" w:w="2200"/>
          </w:tcPr>
          <w:p>
            <w:r>
              <w:rPr>
                <w:b w:val="false"/>
                <w:bCs w:val="false"/>
                <w:color w:val="000000"/>
                <w:sz w:val="20"/>
                <w:szCs w:val="20"/>
              </w:rPr>
              <w:t xml:space="preserve">4,306</w:t>
            </w:r>
          </w:p>
        </w:tc>
        <w:tc>
          <w:tcPr>
            <w:tcW w:type="dxa" w:w="2500"/>
          </w:tcPr>
          <w:p>
            <w:r>
              <w:rPr>
                <w:b w:val="false"/>
                <w:bCs w:val="false"/>
                <w:color w:val="000000"/>
                <w:sz w:val="20"/>
                <w:szCs w:val="20"/>
              </w:rPr>
              <w:t xml:space="preserve">13.49%</w:t>
            </w:r>
          </w:p>
        </w:tc>
      </w:tr>
      <w:tr>
        <w:tc>
          <w:tcPr>
            <w:tcW w:type="dxa" w:w="4600"/>
          </w:tcPr>
          <w:p>
            <w:r>
              <w:rPr>
                <w:b w:val="false"/>
                <w:bCs w:val="false"/>
                <w:color w:val="000000"/>
                <w:sz w:val="20"/>
                <w:szCs w:val="20"/>
              </w:rPr>
              <w:t xml:space="preserve">Delinquency + very low payment</w:t>
            </w:r>
          </w:p>
        </w:tc>
        <w:tc>
          <w:tcPr>
            <w:tcW w:type="dxa" w:w="2200"/>
          </w:tcPr>
          <w:p>
            <w:r>
              <w:rPr>
                <w:b w:val="false"/>
                <w:bCs w:val="false"/>
                <w:color w:val="000000"/>
                <w:sz w:val="20"/>
                <w:szCs w:val="20"/>
              </w:rPr>
              <w:t xml:space="preserve">943</w:t>
            </w:r>
          </w:p>
        </w:tc>
        <w:tc>
          <w:tcPr>
            <w:tcW w:type="dxa" w:w="2500"/>
          </w:tcPr>
          <w:p>
            <w:r>
              <w:rPr>
                <w:b w:val="false"/>
                <w:bCs w:val="false"/>
                <w:color w:val="000000"/>
                <w:sz w:val="20"/>
                <w:szCs w:val="20"/>
              </w:rPr>
              <w:t xml:space="preserve">62.99%</w:t>
            </w:r>
          </w:p>
        </w:tc>
      </w:tr>
      <w:tr>
        <w:tc>
          <w:tcPr>
            <w:tcW w:type="dxa" w:w="4600"/>
          </w:tcPr>
          <w:p>
            <w:r>
              <w:rPr>
                <w:b w:val="false"/>
                <w:bCs w:val="false"/>
                <w:color w:val="000000"/>
                <w:sz w:val="20"/>
                <w:szCs w:val="20"/>
              </w:rPr>
              <w:t xml:space="preserve">Delinquency + high utilization</w:t>
            </w:r>
          </w:p>
        </w:tc>
        <w:tc>
          <w:tcPr>
            <w:tcW w:type="dxa" w:w="2200"/>
          </w:tcPr>
          <w:p>
            <w:r>
              <w:rPr>
                <w:b w:val="false"/>
                <w:bCs w:val="false"/>
                <w:color w:val="000000"/>
                <w:sz w:val="20"/>
                <w:szCs w:val="20"/>
              </w:rPr>
              <w:t xml:space="preserve">157</w:t>
            </w:r>
          </w:p>
        </w:tc>
        <w:tc>
          <w:tcPr>
            <w:tcW w:type="dxa" w:w="2500"/>
          </w:tcPr>
          <w:p>
            <w:r>
              <w:rPr>
                <w:b w:val="false"/>
                <w:bCs w:val="false"/>
                <w:color w:val="000000"/>
                <w:sz w:val="20"/>
                <w:szCs w:val="20"/>
              </w:rPr>
              <w:t xml:space="preserve">54.14%</w:t>
            </w:r>
          </w:p>
        </w:tc>
      </w:tr>
      <w:tr>
        <w:tc>
          <w:tcPr>
            <w:tcW w:type="dxa" w:w="4600"/>
          </w:tcPr>
          <w:p>
            <w:r>
              <w:rPr>
                <w:b w:val="false"/>
                <w:bCs w:val="false"/>
                <w:color w:val="000000"/>
                <w:sz w:val="20"/>
                <w:szCs w:val="20"/>
              </w:rPr>
              <w:t xml:space="preserve">All three flags</w:t>
            </w:r>
          </w:p>
        </w:tc>
        <w:tc>
          <w:tcPr>
            <w:tcW w:type="dxa" w:w="2200"/>
          </w:tcPr>
          <w:p>
            <w:r>
              <w:rPr>
                <w:b w:val="false"/>
                <w:bCs w:val="false"/>
                <w:color w:val="000000"/>
                <w:sz w:val="20"/>
                <w:szCs w:val="20"/>
              </w:rPr>
              <w:t xml:space="preserve">2,155</w:t>
            </w:r>
          </w:p>
        </w:tc>
        <w:tc>
          <w:tcPr>
            <w:tcW w:type="dxa" w:w="2500"/>
          </w:tcPr>
          <w:p>
            <w:r>
              <w:rPr>
                <w:b w:val="false"/>
                <w:bCs w:val="false"/>
                <w:color w:val="000000"/>
                <w:sz w:val="20"/>
                <w:szCs w:val="20"/>
              </w:rPr>
              <w:t xml:space="preserve">61.72%</w:t>
            </w:r>
          </w:p>
        </w:tc>
      </w:tr>
    </w:tbl>
    <w:p>
      <w:pPr>
        <w:spacing w:after="200"/>
      </w:pPr>
      <w:r>
        <w:t xml:space="preserve">Two customers who both scored a "1" could have wildly different actual risk — 48.55% versus 13.49% — depending on which flag they had. Equal weighting was hiding that difference. Very-low-payment-alone (13.49%) even sat below the no-flag baseline of 14.11%, which told me its apparent earlier effect was mostly overlap with delinquency, not an independent signal of its own.</w:t>
      </w:r>
    </w:p>
    <w:p>
      <w:pPr>
        <w:spacing w:after="200"/>
      </w:pPr>
      <w:r>
        <w:rPr>
          <w:b/>
          <w:bCs/>
        </w:rPr>
        <w:t xml:space="preserve">I rejected the equal-weight score. </w:t>
      </w:r>
      <w:r>
        <w:t xml:space="preserve">Persistent delinquency is clearly the dominant factor; utilization and payment ratio matter, but mainly as modifiers on top of delinquency status, not as equal partners in a point system.</w:t>
      </w:r>
    </w:p>
    <w:p>
      <w:pPr>
        <w:pStyle w:val="Heading1"/>
        <w:spacing w:after="200" w:before="400"/>
      </w:pPr>
      <w:r>
        <w:t xml:space="preserve">9. Building the Final Risk Segmentation From Evidence</w:t>
      </w:r>
    </w:p>
    <w:p>
      <w:pPr>
        <w:spacing w:after="200"/>
      </w:pPr>
      <w:r>
        <w:t xml:space="preserve">Rather than inventing new point weights, I built the segmentation directly from the empirical break the diagnostic had revealed: default rates jumped from the 13–20% range (no persistent delinquency) to the 49–63% range (persistent delinquency present) — a much cleaner dividing line than any score.</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CASE</w:t>
      </w:r>
      <w:r>
        <w:rPr>
          <w:rFonts w:ascii="Consolas" w:cs="Consolas" w:eastAsia="Consolas" w:hAnsi="Consolas"/>
          <w:sz w:val="18"/>
          <w:szCs w:val="18"/>
        </w:rPr>
        <w:br/>
        <w:t xml:space="preserve">    WHEN delinquent_months &gt;= 3 AND payment_ratio_pct &lt; 10 THEN 'Critical Risk'</w:t>
      </w:r>
      <w:r>
        <w:rPr>
          <w:rFonts w:ascii="Consolas" w:cs="Consolas" w:eastAsia="Consolas" w:hAnsi="Consolas"/>
          <w:sz w:val="18"/>
          <w:szCs w:val="18"/>
        </w:rPr>
        <w:br/>
        <w:t xml:space="preserve">    WHEN delinquent_months &gt;= 3                            THEN 'High Risk'</w:t>
      </w:r>
      <w:r>
        <w:rPr>
          <w:rFonts w:ascii="Consolas" w:cs="Consolas" w:eastAsia="Consolas" w:hAnsi="Consolas"/>
          <w:sz w:val="18"/>
          <w:szCs w:val="18"/>
        </w:rPr>
        <w:br/>
        <w:t xml:space="preserve">    WHEN delinquent_months &lt; 3 AND avg_utilization_pct &gt;= 50 THEN 'Watchlist'</w:t>
      </w:r>
      <w:r>
        <w:rPr>
          <w:rFonts w:ascii="Consolas" w:cs="Consolas" w:eastAsia="Consolas" w:hAnsi="Consolas"/>
          <w:sz w:val="18"/>
          <w:szCs w:val="18"/>
        </w:rPr>
        <w:br/>
        <w:t xml:space="preserve">    ELSE 'Lower Risk'</w:t>
      </w:r>
      <w:r>
        <w:rPr>
          <w:rFonts w:ascii="Consolas" w:cs="Consolas" w:eastAsia="Consolas" w:hAnsi="Consolas"/>
          <w:sz w:val="18"/>
          <w:szCs w:val="18"/>
        </w:rPr>
        <w:br/>
        <w:t xml:space="preserve">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1F3A4D" w:color="auto" w:val="clear"/>
          </w:tcPr>
          <w:p>
            <w:r>
              <w:rPr>
                <w:b/>
                <w:bCs/>
                <w:color w:val="FFFFFF"/>
                <w:sz w:val="20"/>
                <w:szCs w:val="20"/>
              </w:rPr>
              <w:t xml:space="preserve">Risk segment</w:t>
            </w:r>
          </w:p>
        </w:tc>
        <w:tc>
          <w:tcPr>
            <w:tcW w:type="dxa" w:w="2500"/>
            <w:shd w:fill="1F3A4D" w:color="auto" w:val="clear"/>
          </w:tcPr>
          <w:p>
            <w:r>
              <w:rPr>
                <w:b/>
                <w:bCs/>
                <w:color w:val="FFFFFF"/>
                <w:sz w:val="20"/>
                <w:szCs w:val="20"/>
              </w:rPr>
              <w:t xml:space="preserve">Customers</w:t>
            </w:r>
          </w:p>
        </w:tc>
        <w:tc>
          <w:tcPr>
            <w:tcW w:type="dxa" w:w="2000"/>
            <w:shd w:fill="1F3A4D" w:color="auto" w:val="clear"/>
          </w:tcPr>
          <w:p>
            <w:r>
              <w:rPr>
                <w:b/>
                <w:bCs/>
                <w:color w:val="FFFFFF"/>
                <w:sz w:val="20"/>
                <w:szCs w:val="20"/>
              </w:rPr>
              <w:t xml:space="preserve">Defaults</w:t>
            </w:r>
          </w:p>
        </w:tc>
        <w:tc>
          <w:tcPr>
            <w:tcW w:type="dxa" w:w="1800"/>
            <w:shd w:fill="1F3A4D" w:color="auto" w:val="clear"/>
          </w:tcPr>
          <w:p>
            <w:r>
              <w:rPr>
                <w:b/>
                <w:bCs/>
                <w:color w:val="FFFFFF"/>
                <w:sz w:val="20"/>
                <w:szCs w:val="20"/>
              </w:rPr>
              <w:t xml:space="preserve">Default rate</w:t>
            </w:r>
          </w:p>
        </w:tc>
      </w:tr>
      <w:tr>
        <w:tc>
          <w:tcPr>
            <w:tcW w:type="dxa" w:w="3000"/>
          </w:tcPr>
          <w:p>
            <w:r>
              <w:rPr>
                <w:b w:val="false"/>
                <w:bCs w:val="false"/>
                <w:color w:val="000000"/>
                <w:sz w:val="20"/>
                <w:szCs w:val="20"/>
              </w:rPr>
              <w:t xml:space="preserve">Lower Risk</w:t>
            </w:r>
          </w:p>
        </w:tc>
        <w:tc>
          <w:tcPr>
            <w:tcW w:type="dxa" w:w="2500"/>
          </w:tcPr>
          <w:p>
            <w:r>
              <w:rPr>
                <w:b w:val="false"/>
                <w:bCs w:val="false"/>
                <w:color w:val="000000"/>
                <w:sz w:val="20"/>
                <w:szCs w:val="20"/>
              </w:rPr>
              <w:t xml:space="preserve">17,509</w:t>
            </w:r>
          </w:p>
        </w:tc>
        <w:tc>
          <w:tcPr>
            <w:tcW w:type="dxa" w:w="2000"/>
          </w:tcPr>
          <w:p>
            <w:r>
              <w:rPr>
                <w:b w:val="false"/>
                <w:bCs w:val="false"/>
                <w:color w:val="000000"/>
                <w:sz w:val="20"/>
                <w:szCs w:val="20"/>
              </w:rPr>
              <w:t xml:space="preserve">2,659</w:t>
            </w:r>
          </w:p>
        </w:tc>
        <w:tc>
          <w:tcPr>
            <w:tcW w:type="dxa" w:w="1800"/>
          </w:tcPr>
          <w:p>
            <w:r>
              <w:rPr>
                <w:b w:val="false"/>
                <w:bCs w:val="false"/>
                <w:color w:val="000000"/>
                <w:sz w:val="20"/>
                <w:szCs w:val="20"/>
              </w:rPr>
              <w:t xml:space="preserve">15.19%</w:t>
            </w:r>
          </w:p>
        </w:tc>
      </w:tr>
      <w:tr>
        <w:tc>
          <w:tcPr>
            <w:tcW w:type="dxa" w:w="3000"/>
          </w:tcPr>
          <w:p>
            <w:r>
              <w:rPr>
                <w:b w:val="false"/>
                <w:bCs w:val="false"/>
                <w:color w:val="000000"/>
                <w:sz w:val="20"/>
                <w:szCs w:val="20"/>
              </w:rPr>
              <w:t xml:space="preserve">Watchlist</w:t>
            </w:r>
          </w:p>
        </w:tc>
        <w:tc>
          <w:tcPr>
            <w:tcW w:type="dxa" w:w="2500"/>
          </w:tcPr>
          <w:p>
            <w:r>
              <w:rPr>
                <w:b w:val="false"/>
                <w:bCs w:val="false"/>
                <w:color w:val="000000"/>
                <w:sz w:val="20"/>
                <w:szCs w:val="20"/>
              </w:rPr>
              <w:t xml:space="preserve">8,747</w:t>
            </w:r>
          </w:p>
        </w:tc>
        <w:tc>
          <w:tcPr>
            <w:tcW w:type="dxa" w:w="2000"/>
          </w:tcPr>
          <w:p>
            <w:r>
              <w:rPr>
                <w:b w:val="false"/>
                <w:bCs w:val="false"/>
                <w:color w:val="000000"/>
                <w:sz w:val="20"/>
                <w:szCs w:val="20"/>
              </w:rPr>
              <w:t xml:space="preserve">1,731</w:t>
            </w:r>
          </w:p>
        </w:tc>
        <w:tc>
          <w:tcPr>
            <w:tcW w:type="dxa" w:w="1800"/>
          </w:tcPr>
          <w:p>
            <w:r>
              <w:rPr>
                <w:b w:val="false"/>
                <w:bCs w:val="false"/>
                <w:color w:val="000000"/>
                <w:sz w:val="20"/>
                <w:szCs w:val="20"/>
              </w:rPr>
              <w:t xml:space="preserve">19.79%</w:t>
            </w:r>
          </w:p>
        </w:tc>
      </w:tr>
      <w:tr>
        <w:tc>
          <w:tcPr>
            <w:tcW w:type="dxa" w:w="3000"/>
          </w:tcPr>
          <w:p>
            <w:r>
              <w:rPr>
                <w:b w:val="false"/>
                <w:bCs w:val="false"/>
                <w:color w:val="000000"/>
                <w:sz w:val="20"/>
                <w:szCs w:val="20"/>
              </w:rPr>
              <w:t xml:space="preserve">High Risk</w:t>
            </w:r>
          </w:p>
        </w:tc>
        <w:tc>
          <w:tcPr>
            <w:tcW w:type="dxa" w:w="2500"/>
          </w:tcPr>
          <w:p>
            <w:r>
              <w:rPr>
                <w:b w:val="false"/>
                <w:bCs w:val="false"/>
                <w:color w:val="000000"/>
                <w:sz w:val="20"/>
                <w:szCs w:val="20"/>
              </w:rPr>
              <w:t xml:space="preserve">646</w:t>
            </w:r>
          </w:p>
        </w:tc>
        <w:tc>
          <w:tcPr>
            <w:tcW w:type="dxa" w:w="2000"/>
          </w:tcPr>
          <w:p>
            <w:r>
              <w:rPr>
                <w:b w:val="false"/>
                <w:bCs w:val="false"/>
                <w:color w:val="000000"/>
                <w:sz w:val="20"/>
                <w:szCs w:val="20"/>
              </w:rPr>
              <w:t xml:space="preserve">322</w:t>
            </w:r>
          </w:p>
        </w:tc>
        <w:tc>
          <w:tcPr>
            <w:tcW w:type="dxa" w:w="1800"/>
          </w:tcPr>
          <w:p>
            <w:r>
              <w:rPr>
                <w:b w:val="false"/>
                <w:bCs w:val="false"/>
                <w:color w:val="000000"/>
                <w:sz w:val="20"/>
                <w:szCs w:val="20"/>
              </w:rPr>
              <w:t xml:space="preserve">49.85%</w:t>
            </w:r>
          </w:p>
        </w:tc>
      </w:tr>
      <w:tr>
        <w:tc>
          <w:tcPr>
            <w:tcW w:type="dxa" w:w="3000"/>
          </w:tcPr>
          <w:p>
            <w:r>
              <w:rPr>
                <w:b w:val="false"/>
                <w:bCs w:val="false"/>
                <w:color w:val="000000"/>
                <w:sz w:val="20"/>
                <w:szCs w:val="20"/>
              </w:rPr>
              <w:t xml:space="preserve">Critical Risk</w:t>
            </w:r>
          </w:p>
        </w:tc>
        <w:tc>
          <w:tcPr>
            <w:tcW w:type="dxa" w:w="2500"/>
          </w:tcPr>
          <w:p>
            <w:r>
              <w:rPr>
                <w:b w:val="false"/>
                <w:bCs w:val="false"/>
                <w:color w:val="000000"/>
                <w:sz w:val="20"/>
                <w:szCs w:val="20"/>
              </w:rPr>
              <w:t xml:space="preserve">3,098</w:t>
            </w:r>
          </w:p>
        </w:tc>
        <w:tc>
          <w:tcPr>
            <w:tcW w:type="dxa" w:w="2000"/>
          </w:tcPr>
          <w:p>
            <w:r>
              <w:rPr>
                <w:b w:val="false"/>
                <w:bCs w:val="false"/>
                <w:color w:val="000000"/>
                <w:sz w:val="20"/>
                <w:szCs w:val="20"/>
              </w:rPr>
              <w:t xml:space="preserve">1,924</w:t>
            </w:r>
          </w:p>
        </w:tc>
        <w:tc>
          <w:tcPr>
            <w:tcW w:type="dxa" w:w="1800"/>
          </w:tcPr>
          <w:p>
            <w:r>
              <w:rPr>
                <w:b w:val="false"/>
                <w:bCs w:val="false"/>
                <w:color w:val="000000"/>
                <w:sz w:val="20"/>
                <w:szCs w:val="20"/>
              </w:rPr>
              <w:t xml:space="preserve">62.10%</w:t>
            </w:r>
          </w:p>
        </w:tc>
      </w:tr>
    </w:tbl>
    <w:p>
      <w:pPr>
        <w:spacing w:after="200"/>
      </w:pPr>
      <w:r>
        <w:t xml:space="preserve">I froze this definition at this point and didn't revisit it later, even when it would have been tempting to nudge a threshold for a cleaner-looking chart during the dashboard build. Once you start adjusting rules to make the output prettier, you're no longer measuring anything real.</w:t>
      </w:r>
    </w:p>
    <w:p>
      <w:pPr>
        <w:pStyle w:val="Heading1"/>
        <w:spacing w:after="200" w:before="400"/>
      </w:pPr>
      <w:r>
        <w:t xml:space="preserve">10. Exposure Analysis — Where Is the Money?</w:t>
      </w:r>
    </w:p>
    <w:p>
      <w:pPr>
        <w:spacing w:after="200"/>
      </w:pPr>
      <w:r>
        <w:t xml:space="preserve">Knowing who's risky isn't the whole answer for a bank — a segment can have a frightening default rate and still not matter much if there's little money behind it. So I measured outstanding balance, defined as each customer's positive September statement balance. Negative and zero balances aren't money currently owed, so I excluded them from this specific metric.</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CASE</w:t>
      </w:r>
      <w:r>
        <w:rPr>
          <w:rFonts w:ascii="Consolas" w:cs="Consolas" w:eastAsia="Consolas" w:hAnsi="Consolas"/>
          <w:sz w:val="18"/>
          <w:szCs w:val="18"/>
        </w:rPr>
        <w:br/>
        <w:t xml:space="preserve">    WHEN bill_amount_sep &gt; 0 THEN bill_amount_sep</w:t>
      </w:r>
      <w:r>
        <w:rPr>
          <w:rFonts w:ascii="Consolas" w:cs="Consolas" w:eastAsia="Consolas" w:hAnsi="Consolas"/>
          <w:sz w:val="18"/>
          <w:szCs w:val="18"/>
        </w:rPr>
        <w:br/>
        <w:t xml:space="preserve">    ELSE 0</w:t>
      </w:r>
      <w:r>
        <w:rPr>
          <w:rFonts w:ascii="Consolas" w:cs="Consolas" w:eastAsia="Consolas" w:hAnsi="Consolas"/>
          <w:sz w:val="18"/>
          <w:szCs w:val="18"/>
        </w:rPr>
        <w:br/>
        <w:t xml:space="preserve">END AS outstanding_balance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shd w:fill="1F3A4D" w:color="auto" w:val="clear"/>
          </w:tcPr>
          <w:p>
            <w:r>
              <w:rPr>
                <w:b/>
                <w:bCs/>
                <w:color w:val="FFFFFF"/>
                <w:sz w:val="20"/>
                <w:szCs w:val="20"/>
              </w:rPr>
              <w:t xml:space="preserve">Risk segment</w:t>
            </w:r>
          </w:p>
        </w:tc>
        <w:tc>
          <w:tcPr>
            <w:tcW w:type="dxa" w:w="2000"/>
            <w:shd w:fill="1F3A4D" w:color="auto" w:val="clear"/>
          </w:tcPr>
          <w:p>
            <w:r>
              <w:rPr>
                <w:b/>
                <w:bCs/>
                <w:color w:val="FFFFFF"/>
                <w:sz w:val="20"/>
                <w:szCs w:val="20"/>
              </w:rPr>
              <w:t xml:space="preserve">Customers</w:t>
            </w:r>
          </w:p>
        </w:tc>
        <w:tc>
          <w:tcPr>
            <w:tcW w:type="dxa" w:w="2900"/>
            <w:shd w:fill="1F3A4D" w:color="auto" w:val="clear"/>
          </w:tcPr>
          <w:p>
            <w:r>
              <w:rPr>
                <w:b/>
                <w:bCs/>
                <w:color w:val="FFFFFF"/>
                <w:sz w:val="20"/>
                <w:szCs w:val="20"/>
              </w:rPr>
              <w:t xml:space="preserve">Total outstanding</w:t>
            </w:r>
          </w:p>
        </w:tc>
        <w:tc>
          <w:tcPr>
            <w:tcW w:type="dxa" w:w="1800"/>
            <w:shd w:fill="1F3A4D" w:color="auto" w:val="clear"/>
          </w:tcPr>
          <w:p>
            <w:r>
              <w:rPr>
                <w:b/>
                <w:bCs/>
                <w:color w:val="FFFFFF"/>
                <w:sz w:val="20"/>
                <w:szCs w:val="20"/>
              </w:rPr>
              <w:t xml:space="preserve">Avg / customer</w:t>
            </w:r>
          </w:p>
        </w:tc>
      </w:tr>
      <w:tr>
        <w:tc>
          <w:tcPr>
            <w:tcW w:type="dxa" w:w="2600"/>
          </w:tcPr>
          <w:p>
            <w:r>
              <w:rPr>
                <w:b w:val="false"/>
                <w:bCs w:val="false"/>
                <w:color w:val="000000"/>
                <w:sz w:val="20"/>
                <w:szCs w:val="20"/>
              </w:rPr>
              <w:t xml:space="preserve">Lower Risk</w:t>
            </w:r>
          </w:p>
        </w:tc>
        <w:tc>
          <w:tcPr>
            <w:tcW w:type="dxa" w:w="2000"/>
          </w:tcPr>
          <w:p>
            <w:r>
              <w:rPr>
                <w:b w:val="false"/>
                <w:bCs w:val="false"/>
                <w:color w:val="000000"/>
                <w:sz w:val="20"/>
                <w:szCs w:val="20"/>
              </w:rPr>
              <w:t xml:space="preserve">17,509</w:t>
            </w:r>
          </w:p>
        </w:tc>
        <w:tc>
          <w:tcPr>
            <w:tcW w:type="dxa" w:w="2900"/>
          </w:tcPr>
          <w:p>
            <w:r>
              <w:rPr>
                <w:b w:val="false"/>
                <w:bCs w:val="false"/>
                <w:color w:val="000000"/>
                <w:sz w:val="20"/>
                <w:szCs w:val="20"/>
              </w:rPr>
              <w:t xml:space="preserve">466,646,833</w:t>
            </w:r>
          </w:p>
        </w:tc>
        <w:tc>
          <w:tcPr>
            <w:tcW w:type="dxa" w:w="1800"/>
          </w:tcPr>
          <w:p>
            <w:r>
              <w:rPr>
                <w:b w:val="false"/>
                <w:bCs w:val="false"/>
                <w:color w:val="000000"/>
                <w:sz w:val="20"/>
                <w:szCs w:val="20"/>
              </w:rPr>
              <w:t xml:space="preserve">26,651.83</w:t>
            </w:r>
          </w:p>
        </w:tc>
      </w:tr>
      <w:tr>
        <w:tc>
          <w:tcPr>
            <w:tcW w:type="dxa" w:w="2600"/>
          </w:tcPr>
          <w:p>
            <w:r>
              <w:rPr>
                <w:b w:val="false"/>
                <w:bCs w:val="false"/>
                <w:color w:val="000000"/>
                <w:sz w:val="20"/>
                <w:szCs w:val="20"/>
              </w:rPr>
              <w:t xml:space="preserve">Watchlist</w:t>
            </w:r>
          </w:p>
        </w:tc>
        <w:tc>
          <w:tcPr>
            <w:tcW w:type="dxa" w:w="2000"/>
          </w:tcPr>
          <w:p>
            <w:r>
              <w:rPr>
                <w:b w:val="false"/>
                <w:bCs w:val="false"/>
                <w:color w:val="000000"/>
                <w:sz w:val="20"/>
                <w:szCs w:val="20"/>
              </w:rPr>
              <w:t xml:space="preserve">8,747</w:t>
            </w:r>
          </w:p>
        </w:tc>
        <w:tc>
          <w:tcPr>
            <w:tcW w:type="dxa" w:w="2900"/>
          </w:tcPr>
          <w:p>
            <w:r>
              <w:rPr>
                <w:b w:val="false"/>
                <w:bCs w:val="false"/>
                <w:color w:val="000000"/>
                <w:sz w:val="20"/>
                <w:szCs w:val="20"/>
              </w:rPr>
              <w:t xml:space="preserve">880,412,963</w:t>
            </w:r>
          </w:p>
        </w:tc>
        <w:tc>
          <w:tcPr>
            <w:tcW w:type="dxa" w:w="1800"/>
          </w:tcPr>
          <w:p>
            <w:r>
              <w:rPr>
                <w:b w:val="false"/>
                <w:bCs w:val="false"/>
                <w:color w:val="000000"/>
                <w:sz w:val="20"/>
                <w:szCs w:val="20"/>
              </w:rPr>
              <w:t xml:space="preserve">100,653.13</w:t>
            </w:r>
          </w:p>
        </w:tc>
      </w:tr>
      <w:tr>
        <w:tc>
          <w:tcPr>
            <w:tcW w:type="dxa" w:w="2600"/>
          </w:tcPr>
          <w:p>
            <w:r>
              <w:rPr>
                <w:b w:val="false"/>
                <w:bCs w:val="false"/>
                <w:color w:val="000000"/>
                <w:sz w:val="20"/>
                <w:szCs w:val="20"/>
              </w:rPr>
              <w:t xml:space="preserve">High Risk</w:t>
            </w:r>
          </w:p>
        </w:tc>
        <w:tc>
          <w:tcPr>
            <w:tcW w:type="dxa" w:w="2000"/>
          </w:tcPr>
          <w:p>
            <w:r>
              <w:rPr>
                <w:b w:val="false"/>
                <w:bCs w:val="false"/>
                <w:color w:val="000000"/>
                <w:sz w:val="20"/>
                <w:szCs w:val="20"/>
              </w:rPr>
              <w:t xml:space="preserve">646</w:t>
            </w:r>
          </w:p>
        </w:tc>
        <w:tc>
          <w:tcPr>
            <w:tcW w:type="dxa" w:w="2900"/>
          </w:tcPr>
          <w:p>
            <w:r>
              <w:rPr>
                <w:b w:val="false"/>
                <w:bCs w:val="false"/>
                <w:color w:val="000000"/>
                <w:sz w:val="20"/>
                <w:szCs w:val="20"/>
              </w:rPr>
              <w:t xml:space="preserve">12,848,281</w:t>
            </w:r>
          </w:p>
        </w:tc>
        <w:tc>
          <w:tcPr>
            <w:tcW w:type="dxa" w:w="1800"/>
          </w:tcPr>
          <w:p>
            <w:r>
              <w:rPr>
                <w:b w:val="false"/>
                <w:bCs w:val="false"/>
                <w:color w:val="000000"/>
                <w:sz w:val="20"/>
                <w:szCs w:val="20"/>
              </w:rPr>
              <w:t xml:space="preserve">19,888.98</w:t>
            </w:r>
          </w:p>
        </w:tc>
      </w:tr>
      <w:tr>
        <w:tc>
          <w:tcPr>
            <w:tcW w:type="dxa" w:w="2600"/>
          </w:tcPr>
          <w:p>
            <w:r>
              <w:rPr>
                <w:b w:val="false"/>
                <w:bCs w:val="false"/>
                <w:color w:val="000000"/>
                <w:sz w:val="20"/>
                <w:szCs w:val="20"/>
              </w:rPr>
              <w:t xml:space="preserve">Critical Risk</w:t>
            </w:r>
          </w:p>
        </w:tc>
        <w:tc>
          <w:tcPr>
            <w:tcW w:type="dxa" w:w="2000"/>
          </w:tcPr>
          <w:p>
            <w:r>
              <w:rPr>
                <w:b w:val="false"/>
                <w:bCs w:val="false"/>
                <w:color w:val="000000"/>
                <w:sz w:val="20"/>
                <w:szCs w:val="20"/>
              </w:rPr>
              <w:t xml:space="preserve">3,098</w:t>
            </w:r>
          </w:p>
        </w:tc>
        <w:tc>
          <w:tcPr>
            <w:tcW w:type="dxa" w:w="2900"/>
          </w:tcPr>
          <w:p>
            <w:r>
              <w:rPr>
                <w:b w:val="false"/>
                <w:bCs w:val="false"/>
                <w:color w:val="000000"/>
                <w:sz w:val="20"/>
                <w:szCs w:val="20"/>
              </w:rPr>
              <w:t xml:space="preserve">177,473,180</w:t>
            </w:r>
          </w:p>
        </w:tc>
        <w:tc>
          <w:tcPr>
            <w:tcW w:type="dxa" w:w="1800"/>
          </w:tcPr>
          <w:p>
            <w:r>
              <w:rPr>
                <w:b w:val="false"/>
                <w:bCs w:val="false"/>
                <w:color w:val="000000"/>
                <w:sz w:val="20"/>
                <w:szCs w:val="20"/>
              </w:rPr>
              <w:t xml:space="preserve">57,286.37</w:t>
            </w:r>
          </w:p>
        </w:tc>
      </w:tr>
    </w:tbl>
    <w:p>
      <w:pPr>
        <w:spacing w:after="200"/>
      </w:pPr>
      <w:r>
        <w:t xml:space="preserve">Validated portfolio total: 1,537,381,257, approximately 1.54 billion NT dollars.</w:t>
      </w:r>
    </w:p>
    <w:p>
      <w:pPr>
        <w:spacing w:after="200"/>
      </w:pPr>
      <w:r>
        <w:rPr>
          <w:b/>
          <w:bCs/>
        </w:rPr>
        <w:t xml:space="preserve">This is the finding I'd lead with in an interview: </w:t>
      </w:r>
      <w:r>
        <w:t xml:space="preserve">the Watchlist — not Critical Risk — carries the largest share of the bank's outstanding balance (57.3%) and the highest average balance per customer. Critical Risk has by far the scariest default rate, but it's a smaller, lower-balance group. A monitoring process built purely around default-rate ranking would under-prioritize exactly the segment holding the most money.</w:t>
      </w:r>
    </w:p>
    <w:p>
      <w:pPr>
        <w:spacing w:after="200"/>
      </w:pPr>
      <w:r>
        <w:t xml:space="preserve">This number wasn't clean the first time I calculated it. Two separate issues showed up along the way. First, a draft version of this query used segmentation logic that had drifted from the frozen definitions in section 9 — I caught that before ever running it and corrected the logic to match. Separately, an early exposure calculation, run before the final reporting view existed, produced segment totals that summed to roughly double the true portfolio balance. I was not able to confirm the exact cause of that second discrepancy with certainty, so rather than present a guess as fact, I re-verified every figure directly against the finished vw_credit_risk_analysis view and cross-checked the total against an independently calculated number from the original balance-diagnostic query. Both matched exactly, and those are the numbers reported above. The lesson either way: verify an aggregate against a second, independent number before it becomes a headline finding.</w:t>
      </w:r>
    </w:p>
    <w:p>
      <w:pPr>
        <w:pStyle w:val="Heading1"/>
        <w:spacing w:after="200" w:before="400"/>
      </w:pPr>
      <w:r>
        <w:t xml:space="preserve">11. One Reporting View, So Power BI Never Redefines the Business Logic</w:t>
      </w:r>
    </w:p>
    <w:p>
      <w:pPr>
        <w:spacing w:after="200"/>
      </w:pPr>
      <w:r>
        <w:t xml:space="preserve">Once the segmentation and exposure logic were locked, I built one customer-level view for Power BI to read from, reusing the exact frozen calculations rather than re-deriving them.</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CREATE VIEW vw_credit_risk_analysis AS</w:t>
      </w:r>
      <w:r>
        <w:rPr>
          <w:rFonts w:ascii="Consolas" w:cs="Consolas" w:eastAsia="Consolas" w:hAnsi="Consolas"/>
          <w:sz w:val="18"/>
          <w:szCs w:val="18"/>
        </w:rPr>
        <w:br/>
        <w:t xml:space="preserve">-- reuses the exact frozen delinquent_months, avg_utilization_pct,</w:t>
      </w:r>
      <w:r>
        <w:rPr>
          <w:rFonts w:ascii="Consolas" w:cs="Consolas" w:eastAsia="Consolas" w:hAnsi="Consolas"/>
          <w:sz w:val="18"/>
          <w:szCs w:val="18"/>
        </w:rPr>
        <w:br/>
        <w:t xml:space="preserve">-- payment_ratio_pct, outstanding_balance, and risk_segment logic</w:t>
      </w:r>
      <w:r>
        <w:rPr>
          <w:rFonts w:ascii="Consolas" w:cs="Consolas" w:eastAsia="Consolas" w:hAnsi="Consolas"/>
          <w:sz w:val="18"/>
          <w:szCs w:val="18"/>
        </w:rPr>
        <w:br/>
        <w:t xml:space="preserve">SELECT customer_id, gender, age, education_level, marital_status, credit_limit,</w:t>
      </w:r>
      <w:r>
        <w:rPr>
          <w:rFonts w:ascii="Consolas" w:cs="Consolas" w:eastAsia="Consolas" w:hAnsi="Consolas"/>
          <w:sz w:val="18"/>
          <w:szCs w:val="18"/>
        </w:rPr>
        <w:br/>
        <w:t xml:space="preserve">       default_next_month, delinquent_months, avg_utilization_pct, payment_ratio_pct,</w:t>
      </w:r>
      <w:r>
        <w:rPr>
          <w:rFonts w:ascii="Consolas" w:cs="Consolas" w:eastAsia="Consolas" w:hAnsi="Consolas"/>
          <w:sz w:val="18"/>
          <w:szCs w:val="18"/>
        </w:rPr>
        <w:br/>
        <w:t xml:space="preserve">       outstanding_balance, risk_segment</w:t>
      </w:r>
      <w:r>
        <w:rPr>
          <w:rFonts w:ascii="Consolas" w:cs="Consolas" w:eastAsia="Consolas" w:hAnsi="Consolas"/>
          <w:sz w:val="18"/>
          <w:szCs w:val="18"/>
        </w:rPr>
        <w:br/>
        <w:t xml:space="preserve">FROM segmented;</w:t>
      </w:r>
    </w:p>
    <w:p>
      <w:pPr>
        <w:spacing w:after="200"/>
      </w:pPr>
      <w:r>
        <w:t xml:space="preserve">I deliberately excluded the eighteen individual monthly bill, payment, and repayment-status columns from this view — they'd already done their job engineering the behavioural features in SQL. Including them in Power BI would just tempt re-deriving the same logic differently in DAX, which is exactly how a dashboard's numbers end up disagreeing with the SQL underneath it. I validated the view by re-running the segment counts and default rates against it and confirming they reproduced the frozen numbers exactly, including the 1.537 billion portfolio exposure total.</w:t>
      </w:r>
    </w:p>
    <w:p>
      <w:pPr>
        <w:pStyle w:val="Heading1"/>
        <w:spacing w:after="200" w:before="400"/>
      </w:pPr>
      <w:r>
        <w:t xml:space="preserve">12. Power BI Model and DAX</w:t>
      </w:r>
    </w:p>
    <w:p>
      <w:pPr>
        <w:spacing w:after="200"/>
      </w:pPr>
      <w:r>
        <w:t xml:space="preserve">Power BI connects to MySQL in Import mode and reads only vw_credit_risk_analysis. I added one small Risk Segments dimension table purely to control display order — Lower Risk, Watchlist, High Risk, Critical Risk — since Power BI would otherwise sort alphabetically or by underlying value. Risk Segments[Risk Segment] has a one-to-many relationship with vw_credit_risk_analysis[risk_segment], filtering in a single direction, and the dimension table's Risk Segment column is sorted by its Sort Order column.</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Risk Segments =</w:t>
      </w:r>
      <w:r>
        <w:rPr>
          <w:rFonts w:ascii="Consolas" w:cs="Consolas" w:eastAsia="Consolas" w:hAnsi="Consolas"/>
          <w:sz w:val="18"/>
          <w:szCs w:val="18"/>
        </w:rPr>
        <w:br/>
        <w:t xml:space="preserve">DATATABLE(</w:t>
      </w:r>
      <w:r>
        <w:rPr>
          <w:rFonts w:ascii="Consolas" w:cs="Consolas" w:eastAsia="Consolas" w:hAnsi="Consolas"/>
          <w:sz w:val="18"/>
          <w:szCs w:val="18"/>
        </w:rPr>
        <w:br/>
        <w:t xml:space="preserve">    "Risk Segment", STRING,</w:t>
      </w:r>
      <w:r>
        <w:rPr>
          <w:rFonts w:ascii="Consolas" w:cs="Consolas" w:eastAsia="Consolas" w:hAnsi="Consolas"/>
          <w:sz w:val="18"/>
          <w:szCs w:val="18"/>
        </w:rPr>
        <w:br/>
        <w:t xml:space="preserve">    "Sort Order", INTEGER,</w:t>
      </w:r>
      <w:r>
        <w:rPr>
          <w:rFonts w:ascii="Consolas" w:cs="Consolas" w:eastAsia="Consolas" w:hAnsi="Consolas"/>
          <w:sz w:val="18"/>
          <w:szCs w:val="18"/>
        </w:rPr>
        <w:br/>
        <w:t xml:space="preserve">    {</w:t>
      </w:r>
      <w:r>
        <w:rPr>
          <w:rFonts w:ascii="Consolas" w:cs="Consolas" w:eastAsia="Consolas" w:hAnsi="Consolas"/>
          <w:sz w:val="18"/>
          <w:szCs w:val="18"/>
        </w:rPr>
        <w:br/>
        <w:t xml:space="preserve">        {"Lower Risk", 1},</w:t>
      </w:r>
      <w:r>
        <w:rPr>
          <w:rFonts w:ascii="Consolas" w:cs="Consolas" w:eastAsia="Consolas" w:hAnsi="Consolas"/>
          <w:sz w:val="18"/>
          <w:szCs w:val="18"/>
        </w:rPr>
        <w:br/>
        <w:t xml:space="preserve">        {"Watchlist", 2},</w:t>
      </w:r>
      <w:r>
        <w:rPr>
          <w:rFonts w:ascii="Consolas" w:cs="Consolas" w:eastAsia="Consolas" w:hAnsi="Consolas"/>
          <w:sz w:val="18"/>
          <w:szCs w:val="18"/>
        </w:rPr>
        <w:br/>
        <w:t xml:space="preserve">        {"High Risk", 3},</w:t>
      </w:r>
      <w:r>
        <w:rPr>
          <w:rFonts w:ascii="Consolas" w:cs="Consolas" w:eastAsia="Consolas" w:hAnsi="Consolas"/>
          <w:sz w:val="18"/>
          <w:szCs w:val="18"/>
        </w:rPr>
        <w:br/>
        <w:t xml:space="preserve">        {"Critical Risk", 4}</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spacing w:after="150" w:before="300"/>
      </w:pPr>
      <w:r>
        <w:t xml:space="preserve">12.1 Core DAX measures</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Total Customers = DISTINCTCOUNT('vw_credit_risk_analysis'[customer_id])</w:t>
      </w:r>
      <w:r>
        <w:rPr>
          <w:rFonts w:ascii="Consolas" w:cs="Consolas" w:eastAsia="Consolas" w:hAnsi="Consolas"/>
          <w:sz w:val="18"/>
          <w:szCs w:val="18"/>
        </w:rPr>
        <w:br/>
        <w:t xml:space="preserve"/>
      </w:r>
      <w:r>
        <w:rPr>
          <w:rFonts w:ascii="Consolas" w:cs="Consolas" w:eastAsia="Consolas" w:hAnsi="Consolas"/>
          <w:sz w:val="18"/>
          <w:szCs w:val="18"/>
        </w:rPr>
        <w:br/>
        <w:t xml:space="preserve">Default Customers =</w:t>
      </w:r>
      <w:r>
        <w:rPr>
          <w:rFonts w:ascii="Consolas" w:cs="Consolas" w:eastAsia="Consolas" w:hAnsi="Consolas"/>
          <w:sz w:val="18"/>
          <w:szCs w:val="18"/>
        </w:rPr>
        <w:br/>
        <w:t xml:space="preserve">CALCULATE([Total Customers], 'vw_credit_risk_analysis'[default_next_month] = 1)</w:t>
      </w:r>
      <w:r>
        <w:rPr>
          <w:rFonts w:ascii="Consolas" w:cs="Consolas" w:eastAsia="Consolas" w:hAnsi="Consolas"/>
          <w:sz w:val="18"/>
          <w:szCs w:val="18"/>
        </w:rPr>
        <w:br/>
        <w:t xml:space="preserve"/>
      </w:r>
      <w:r>
        <w:rPr>
          <w:rFonts w:ascii="Consolas" w:cs="Consolas" w:eastAsia="Consolas" w:hAnsi="Consolas"/>
          <w:sz w:val="18"/>
          <w:szCs w:val="18"/>
        </w:rPr>
        <w:br/>
        <w:t xml:space="preserve">Default Rate = DIVIDE([Default Customers], [Total Customers])</w:t>
      </w:r>
      <w:r>
        <w:rPr>
          <w:rFonts w:ascii="Consolas" w:cs="Consolas" w:eastAsia="Consolas" w:hAnsi="Consolas"/>
          <w:sz w:val="18"/>
          <w:szCs w:val="18"/>
        </w:rPr>
        <w:br/>
        <w:t xml:space="preserve"/>
      </w:r>
      <w:r>
        <w:rPr>
          <w:rFonts w:ascii="Consolas" w:cs="Consolas" w:eastAsia="Consolas" w:hAnsi="Consolas"/>
          <w:sz w:val="18"/>
          <w:szCs w:val="18"/>
        </w:rPr>
        <w:br/>
        <w:t xml:space="preserve">Total Outstanding Balance = SUM('vw_credit_risk_analysis'[outstanding_balance])</w:t>
      </w:r>
      <w:r>
        <w:rPr>
          <w:rFonts w:ascii="Consolas" w:cs="Consolas" w:eastAsia="Consolas" w:hAnsi="Consolas"/>
          <w:sz w:val="18"/>
          <w:szCs w:val="18"/>
        </w:rPr>
        <w:br/>
        <w:t xml:space="preserve"/>
      </w:r>
      <w:r>
        <w:rPr>
          <w:rFonts w:ascii="Consolas" w:cs="Consolas" w:eastAsia="Consolas" w:hAnsi="Consolas"/>
          <w:sz w:val="18"/>
          <w:szCs w:val="18"/>
        </w:rPr>
        <w:br/>
        <w:t xml:space="preserve">Critical Risk Customers =</w:t>
      </w:r>
      <w:r>
        <w:rPr>
          <w:rFonts w:ascii="Consolas" w:cs="Consolas" w:eastAsia="Consolas" w:hAnsi="Consolas"/>
          <w:sz w:val="18"/>
          <w:szCs w:val="18"/>
        </w:rPr>
        <w:br/>
        <w:t xml:space="preserve">CALCULATE([Total Customers], 'vw_credit_risk_analysis'[risk_segment] = "Critical Risk")</w:t>
      </w:r>
      <w:r>
        <w:rPr>
          <w:rFonts w:ascii="Consolas" w:cs="Consolas" w:eastAsia="Consolas" w:hAnsi="Consolas"/>
          <w:sz w:val="18"/>
          <w:szCs w:val="18"/>
        </w:rPr>
        <w:br/>
        <w:t xml:space="preserve"/>
      </w:r>
      <w:r>
        <w:rPr>
          <w:rFonts w:ascii="Consolas" w:cs="Consolas" w:eastAsia="Consolas" w:hAnsi="Consolas"/>
          <w:sz w:val="18"/>
          <w:szCs w:val="18"/>
        </w:rPr>
        <w:br/>
        <w:t xml:space="preserve">Average Payment Ratio = AVERAGE('vw_credit_risk_analysis'[payment_ratio_pct]) / 100</w:t>
      </w:r>
      <w:r>
        <w:rPr>
          <w:rFonts w:ascii="Consolas" w:cs="Consolas" w:eastAsia="Consolas" w:hAnsi="Consolas"/>
          <w:sz w:val="18"/>
          <w:szCs w:val="18"/>
        </w:rPr>
        <w:br/>
        <w:t xml:space="preserve"/>
      </w:r>
      <w:r>
        <w:rPr>
          <w:rFonts w:ascii="Consolas" w:cs="Consolas" w:eastAsia="Consolas" w:hAnsi="Consolas"/>
          <w:sz w:val="18"/>
          <w:szCs w:val="18"/>
        </w:rPr>
        <w:br/>
        <w:t xml:space="preserve">Average Utilization = DIVIDE(AVERAGE('vw_credit_risk_analysis'[avg_utilization_pct]), 100)</w:t>
      </w:r>
      <w:r>
        <w:rPr>
          <w:rFonts w:ascii="Consolas" w:cs="Consolas" w:eastAsia="Consolas" w:hAnsi="Consolas"/>
          <w:sz w:val="18"/>
          <w:szCs w:val="18"/>
        </w:rPr>
        <w:br/>
        <w:t xml:space="preserve"/>
      </w:r>
      <w:r>
        <w:rPr>
          <w:rFonts w:ascii="Consolas" w:cs="Consolas" w:eastAsia="Consolas" w:hAnsi="Consolas"/>
          <w:sz w:val="18"/>
          <w:szCs w:val="18"/>
        </w:rPr>
        <w:br/>
        <w:t xml:space="preserve">Average Delinquent Months = AVERAGE('vw_credit_risk_analysis'[delinquent_months])</w:t>
      </w:r>
      <w:r>
        <w:rPr>
          <w:rFonts w:ascii="Consolas" w:cs="Consolas" w:eastAsia="Consolas" w:hAnsi="Consolas"/>
          <w:sz w:val="18"/>
          <w:szCs w:val="18"/>
        </w:rPr>
        <w:br/>
        <w:t xml:space="preserve"/>
      </w:r>
      <w:r>
        <w:rPr>
          <w:rFonts w:ascii="Consolas" w:cs="Consolas" w:eastAsia="Consolas" w:hAnsi="Consolas"/>
          <w:sz w:val="18"/>
          <w:szCs w:val="18"/>
        </w:rPr>
        <w:br/>
        <w:t xml:space="preserve">Average Outstanding Balance = DIVIDE([Total Outstanding Balance], [Total Customers])</w:t>
      </w:r>
    </w:p>
    <w:p>
      <w:pPr>
        <w:spacing w:after="200"/>
      </w:pPr>
      <w:r>
        <w:t xml:space="preserve">One formatting lesson worth recording: avg_utilization_pct and payment_ratio_pct are already stored as percentage points in SQL — 62.42 means 62.42%. Applying Power BI's native Percentage format on top of that would have multiplied by 100 again and displayed 6,242%. I kept those source columns as plain decimals and built the dedicated DAX measures above (dividing by 100) specifically for the one or two visuals that genuinely needed native percentage formatting.</w:t>
      </w:r>
    </w:p>
    <w:p>
      <w:pPr>
        <w:pStyle w:val="Heading1"/>
        <w:spacing w:after="200" w:before="400"/>
      </w:pPr>
      <w:r>
        <w:t xml:space="preserve">13. Dashboard and Data Story</w:t>
      </w:r>
    </w:p>
    <w:p>
      <w:pPr>
        <w:spacing w:after="200"/>
      </w:pPr>
      <w:r>
        <w:t xml:space="preserve">The final Power BI page is built as an executive risk-monitoring view, combining portfolio scale, default probability, behavioural risk, and financial exposure rather than presenting a collection of disconnected charts.</w:t>
      </w:r>
    </w:p>
    <w:p>
      <w:pPr>
        <w:spacing w:after="300" w:before="200"/>
        <w:jc w:val="center"/>
      </w:pPr>
      <w:r>
        <w:drawing>
          <wp:inline distT="0" distB="0" distL="0" distR="0">
            <wp:extent cx="5524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86100"/>
                    </a:xfrm>
                    <a:prstGeom prst="rect">
                      <a:avLst/>
                    </a:prstGeom>
                  </pic:spPr>
                </pic:pic>
              </a:graphicData>
            </a:graphic>
          </wp:inline>
        </w:drawing>
      </w:r>
    </w:p>
    <w:p>
      <w:pPr>
        <w:pStyle w:val="Heading2"/>
        <w:spacing w:after="150" w:before="300"/>
      </w:pPr>
      <w:r>
        <w:t xml:space="preserve">13.1 KPI row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A4D" w:color="auto" w:val="clear"/>
          </w:tcPr>
          <w:p>
            <w:r>
              <w:rPr>
                <w:b/>
                <w:bCs/>
                <w:color w:val="FFFFFF"/>
                <w:sz w:val="20"/>
                <w:szCs w:val="20"/>
              </w:rPr>
              <w:t xml:space="preserve">KPI</w:t>
            </w:r>
          </w:p>
        </w:tc>
        <w:tc>
          <w:tcPr>
            <w:tcW w:type="dxa" w:w="2000"/>
            <w:shd w:fill="1F3A4D" w:color="auto" w:val="clear"/>
          </w:tcPr>
          <w:p>
            <w:r>
              <w:rPr>
                <w:b/>
                <w:bCs/>
                <w:color w:val="FFFFFF"/>
                <w:sz w:val="20"/>
                <w:szCs w:val="20"/>
              </w:rPr>
              <w:t xml:space="preserve">Final value</w:t>
            </w:r>
          </w:p>
        </w:tc>
        <w:tc>
          <w:tcPr>
            <w:tcW w:type="dxa" w:w="4000"/>
            <w:shd w:fill="1F3A4D" w:color="auto" w:val="clear"/>
          </w:tcPr>
          <w:p>
            <w:r>
              <w:rPr>
                <w:b/>
                <w:bCs/>
                <w:color w:val="FFFFFF"/>
                <w:sz w:val="20"/>
                <w:szCs w:val="20"/>
              </w:rPr>
              <w:t xml:space="preserve">Business meaning</w:t>
            </w:r>
          </w:p>
        </w:tc>
      </w:tr>
      <w:tr>
        <w:tc>
          <w:tcPr>
            <w:tcW w:type="dxa" w:w="3000"/>
          </w:tcPr>
          <w:p>
            <w:r>
              <w:rPr>
                <w:b w:val="false"/>
                <w:bCs w:val="false"/>
                <w:color w:val="000000"/>
                <w:sz w:val="20"/>
                <w:szCs w:val="20"/>
              </w:rPr>
              <w:t xml:space="preserve">Total Customers</w:t>
            </w:r>
          </w:p>
        </w:tc>
        <w:tc>
          <w:tcPr>
            <w:tcW w:type="dxa" w:w="2000"/>
          </w:tcPr>
          <w:p>
            <w:r>
              <w:rPr>
                <w:b w:val="false"/>
                <w:bCs w:val="false"/>
                <w:color w:val="000000"/>
                <w:sz w:val="20"/>
                <w:szCs w:val="20"/>
              </w:rPr>
              <w:t xml:space="preserve">30K</w:t>
            </w:r>
          </w:p>
        </w:tc>
        <w:tc>
          <w:tcPr>
            <w:tcW w:type="dxa" w:w="4000"/>
          </w:tcPr>
          <w:p>
            <w:r>
              <w:rPr>
                <w:b w:val="false"/>
                <w:bCs w:val="false"/>
                <w:color w:val="000000"/>
                <w:sz w:val="20"/>
                <w:szCs w:val="20"/>
              </w:rPr>
              <w:t xml:space="preserve">Portfolio sample size</w:t>
            </w:r>
          </w:p>
        </w:tc>
      </w:tr>
      <w:tr>
        <w:tc>
          <w:tcPr>
            <w:tcW w:type="dxa" w:w="3000"/>
          </w:tcPr>
          <w:p>
            <w:r>
              <w:rPr>
                <w:b w:val="false"/>
                <w:bCs w:val="false"/>
                <w:color w:val="000000"/>
                <w:sz w:val="20"/>
                <w:szCs w:val="20"/>
              </w:rPr>
              <w:t xml:space="preserve">Default Customers</w:t>
            </w:r>
          </w:p>
        </w:tc>
        <w:tc>
          <w:tcPr>
            <w:tcW w:type="dxa" w:w="2000"/>
          </w:tcPr>
          <w:p>
            <w:r>
              <w:rPr>
                <w:b w:val="false"/>
                <w:bCs w:val="false"/>
                <w:color w:val="000000"/>
                <w:sz w:val="20"/>
                <w:szCs w:val="20"/>
              </w:rPr>
              <w:t xml:space="preserve">6,636</w:t>
            </w:r>
          </w:p>
        </w:tc>
        <w:tc>
          <w:tcPr>
            <w:tcW w:type="dxa" w:w="4000"/>
          </w:tcPr>
          <w:p>
            <w:r>
              <w:rPr>
                <w:b w:val="false"/>
                <w:bCs w:val="false"/>
                <w:color w:val="000000"/>
                <w:sz w:val="20"/>
                <w:szCs w:val="20"/>
              </w:rPr>
              <w:t xml:space="preserve">Customers who defaulted next month</w:t>
            </w:r>
          </w:p>
        </w:tc>
      </w:tr>
      <w:tr>
        <w:tc>
          <w:tcPr>
            <w:tcW w:type="dxa" w:w="3000"/>
          </w:tcPr>
          <w:p>
            <w:r>
              <w:rPr>
                <w:b w:val="false"/>
                <w:bCs w:val="false"/>
                <w:color w:val="000000"/>
                <w:sz w:val="20"/>
                <w:szCs w:val="20"/>
              </w:rPr>
              <w:t xml:space="preserve">Default Rate</w:t>
            </w:r>
          </w:p>
        </w:tc>
        <w:tc>
          <w:tcPr>
            <w:tcW w:type="dxa" w:w="2000"/>
          </w:tcPr>
          <w:p>
            <w:r>
              <w:rPr>
                <w:b w:val="false"/>
                <w:bCs w:val="false"/>
                <w:color w:val="000000"/>
                <w:sz w:val="20"/>
                <w:szCs w:val="20"/>
              </w:rPr>
              <w:t xml:space="preserve">22.12%</w:t>
            </w:r>
          </w:p>
        </w:tc>
        <w:tc>
          <w:tcPr>
            <w:tcW w:type="dxa" w:w="4000"/>
          </w:tcPr>
          <w:p>
            <w:r>
              <w:rPr>
                <w:b w:val="false"/>
                <w:bCs w:val="false"/>
                <w:color w:val="000000"/>
                <w:sz w:val="20"/>
                <w:szCs w:val="20"/>
              </w:rPr>
              <w:t xml:space="preserve">Overall default incidence</w:t>
            </w:r>
          </w:p>
        </w:tc>
      </w:tr>
      <w:tr>
        <w:tc>
          <w:tcPr>
            <w:tcW w:type="dxa" w:w="3000"/>
          </w:tcPr>
          <w:p>
            <w:r>
              <w:rPr>
                <w:b w:val="false"/>
                <w:bCs w:val="false"/>
                <w:color w:val="000000"/>
                <w:sz w:val="20"/>
                <w:szCs w:val="20"/>
              </w:rPr>
              <w:t xml:space="preserve">Critical Risk Customers</w:t>
            </w:r>
          </w:p>
        </w:tc>
        <w:tc>
          <w:tcPr>
            <w:tcW w:type="dxa" w:w="2000"/>
          </w:tcPr>
          <w:p>
            <w:r>
              <w:rPr>
                <w:b w:val="false"/>
                <w:bCs w:val="false"/>
                <w:color w:val="000000"/>
                <w:sz w:val="20"/>
                <w:szCs w:val="20"/>
              </w:rPr>
              <w:t xml:space="preserve">3,098</w:t>
            </w:r>
          </w:p>
        </w:tc>
        <w:tc>
          <w:tcPr>
            <w:tcW w:type="dxa" w:w="4000"/>
          </w:tcPr>
          <w:p>
            <w:r>
              <w:rPr>
                <w:b w:val="false"/>
                <w:bCs w:val="false"/>
                <w:color w:val="000000"/>
                <w:sz w:val="20"/>
                <w:szCs w:val="20"/>
              </w:rPr>
              <w:t xml:space="preserve">Customers in the most severe rule-based segment</w:t>
            </w:r>
          </w:p>
        </w:tc>
      </w:tr>
      <w:tr>
        <w:tc>
          <w:tcPr>
            <w:tcW w:type="dxa" w:w="3000"/>
          </w:tcPr>
          <w:p>
            <w:r>
              <w:rPr>
                <w:b w:val="false"/>
                <w:bCs w:val="false"/>
                <w:color w:val="000000"/>
                <w:sz w:val="20"/>
                <w:szCs w:val="20"/>
              </w:rPr>
              <w:t xml:space="preserve">Total Outstanding Balance</w:t>
            </w:r>
          </w:p>
        </w:tc>
        <w:tc>
          <w:tcPr>
            <w:tcW w:type="dxa" w:w="2000"/>
          </w:tcPr>
          <w:p>
            <w:r>
              <w:rPr>
                <w:b w:val="false"/>
                <w:bCs w:val="false"/>
                <w:color w:val="000000"/>
                <w:sz w:val="20"/>
                <w:szCs w:val="20"/>
              </w:rPr>
              <w:t xml:space="preserve">1.54bn</w:t>
            </w:r>
          </w:p>
        </w:tc>
        <w:tc>
          <w:tcPr>
            <w:tcW w:type="dxa" w:w="4000"/>
          </w:tcPr>
          <w:p>
            <w:r>
              <w:rPr>
                <w:b w:val="false"/>
                <w:bCs w:val="false"/>
                <w:color w:val="000000"/>
                <w:sz w:val="20"/>
                <w:szCs w:val="20"/>
              </w:rPr>
              <w:t xml:space="preserve">Positive September statement exposure</w:t>
            </w:r>
          </w:p>
        </w:tc>
      </w:tr>
    </w:tbl>
    <w:p>
      <w:pPr>
        <w:pStyle w:val="Heading2"/>
        <w:spacing w:after="150" w:before="300"/>
      </w:pPr>
      <w:r>
        <w:t xml:space="preserve">13.2 Outstanding Exposure &amp; Default Risk by Segment</w:t>
      </w:r>
    </w:p>
    <w:p>
      <w:pPr>
        <w:spacing w:after="200"/>
      </w:pPr>
      <w:r>
        <w:t xml:space="preserve">A combo chart uses columns for total outstanding balance and a line for default rate, ordered Lower Risk through Critical Risk. It directly shows that the largest exposure does not sit in the highest-default segment — the one visual that carries the project's core finding on its own.</w:t>
      </w:r>
    </w:p>
    <w:p>
      <w:pPr>
        <w:pStyle w:val="Heading2"/>
        <w:spacing w:after="150" w:before="300"/>
      </w:pPr>
      <w:r>
        <w:t xml:space="preserve">13.3 Portfolio Risk Map</w:t>
      </w:r>
    </w:p>
    <w:p>
      <w:pPr>
        <w:spacing w:after="200"/>
      </w:pPr>
      <w:r>
        <w:t xml:space="preserve">A bubble chart plots Default Rate on the X-axis, Average Outstanding Balance on the Y-axis, sized by Total Outstanding Balance, labeled by Risk Segment. The Watchlist appears as a large, high-balance bubble at a moderate default rate, while Critical Risk sits at a much higher default rate with lower total exposure — the core executive story of the dashboard, visible in one glance instead of requiring someone to compare several charts.</w:t>
      </w:r>
    </w:p>
    <w:p>
      <w:pPr>
        <w:pStyle w:val="Heading2"/>
        <w:spacing w:after="150" w:before="300"/>
      </w:pPr>
      <w:r>
        <w:t xml:space="preserve">13.4 Customer Distribution by Risk Segment and Default Status</w:t>
      </w:r>
    </w:p>
    <w:p>
      <w:pPr>
        <w:spacing w:after="200"/>
      </w:pPr>
      <w:r>
        <w:t xml:space="preserve">A stacked horizontal bar chart shows the size of each segment and its default/non-default composition, adding volume context to the rate-based visuals.</w:t>
      </w:r>
    </w:p>
    <w:p>
      <w:pPr>
        <w:pStyle w:val="Heading2"/>
        <w:spacing w:after="150" w:before="300"/>
      </w:pPr>
      <w:r>
        <w:t xml:space="preserve">13.5 Behavioural Risk Scorecard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F3A4D" w:color="auto" w:val="clear"/>
          </w:tcPr>
          <w:p>
            <w:r>
              <w:rPr>
                <w:b/>
                <w:bCs/>
                <w:color w:val="FFFFFF"/>
                <w:sz w:val="20"/>
                <w:szCs w:val="20"/>
              </w:rPr>
              <w:t xml:space="preserve">Risk Segment</w:t>
            </w:r>
          </w:p>
        </w:tc>
        <w:tc>
          <w:tcPr>
            <w:tcW w:type="dxa" w:w="2200"/>
            <w:shd w:fill="1F3A4D" w:color="auto" w:val="clear"/>
          </w:tcPr>
          <w:p>
            <w:r>
              <w:rPr>
                <w:b/>
                <w:bCs/>
                <w:color w:val="FFFFFF"/>
                <w:sz w:val="20"/>
                <w:szCs w:val="20"/>
              </w:rPr>
              <w:t xml:space="preserve">Avg Utilization</w:t>
            </w:r>
          </w:p>
        </w:tc>
        <w:tc>
          <w:tcPr>
            <w:tcW w:type="dxa" w:w="2500"/>
            <w:shd w:fill="1F3A4D" w:color="auto" w:val="clear"/>
          </w:tcPr>
          <w:p>
            <w:r>
              <w:rPr>
                <w:b/>
                <w:bCs/>
                <w:color w:val="FFFFFF"/>
                <w:sz w:val="20"/>
                <w:szCs w:val="20"/>
              </w:rPr>
              <w:t xml:space="preserve">Avg Payment Ratio</w:t>
            </w:r>
          </w:p>
        </w:tc>
        <w:tc>
          <w:tcPr>
            <w:tcW w:type="dxa" w:w="2200"/>
            <w:shd w:fill="1F3A4D" w:color="auto" w:val="clear"/>
          </w:tcPr>
          <w:p>
            <w:r>
              <w:rPr>
                <w:b/>
                <w:bCs/>
                <w:color w:val="FFFFFF"/>
                <w:sz w:val="20"/>
                <w:szCs w:val="20"/>
              </w:rPr>
              <w:t xml:space="preserve">Avg Delinquent Months</w:t>
            </w:r>
          </w:p>
        </w:tc>
      </w:tr>
      <w:tr>
        <w:tc>
          <w:tcPr>
            <w:tcW w:type="dxa" w:w="2500"/>
          </w:tcPr>
          <w:p>
            <w:r>
              <w:rPr>
                <w:b w:val="false"/>
                <w:bCs w:val="false"/>
                <w:color w:val="000000"/>
                <w:sz w:val="20"/>
                <w:szCs w:val="20"/>
              </w:rPr>
              <w:t xml:space="preserve">Lower Risk</w:t>
            </w:r>
          </w:p>
        </w:tc>
        <w:tc>
          <w:tcPr>
            <w:tcW w:type="dxa" w:w="2200"/>
          </w:tcPr>
          <w:p>
            <w:r>
              <w:rPr>
                <w:b w:val="false"/>
                <w:bCs w:val="false"/>
                <w:color w:val="000000"/>
                <w:sz w:val="20"/>
                <w:szCs w:val="20"/>
              </w:rPr>
              <w:t xml:space="preserve">12.70%</w:t>
            </w:r>
          </w:p>
        </w:tc>
        <w:tc>
          <w:tcPr>
            <w:tcW w:type="dxa" w:w="2500"/>
          </w:tcPr>
          <w:p>
            <w:r>
              <w:rPr>
                <w:b w:val="false"/>
                <w:bCs w:val="false"/>
                <w:color w:val="000000"/>
                <w:sz w:val="20"/>
                <w:szCs w:val="20"/>
              </w:rPr>
              <w:t xml:space="preserve">78.40%</w:t>
            </w:r>
          </w:p>
        </w:tc>
        <w:tc>
          <w:tcPr>
            <w:tcW w:type="dxa" w:w="2200"/>
          </w:tcPr>
          <w:p>
            <w:r>
              <w:rPr>
                <w:b w:val="false"/>
                <w:bCs w:val="false"/>
                <w:color w:val="000000"/>
                <w:sz w:val="20"/>
                <w:szCs w:val="20"/>
              </w:rPr>
              <w:t xml:space="preserve">0.29</w:t>
            </w:r>
          </w:p>
        </w:tc>
      </w:tr>
      <w:tr>
        <w:tc>
          <w:tcPr>
            <w:tcW w:type="dxa" w:w="2500"/>
          </w:tcPr>
          <w:p>
            <w:r>
              <w:rPr>
                <w:b w:val="false"/>
                <w:bCs w:val="false"/>
                <w:color w:val="000000"/>
                <w:sz w:val="20"/>
                <w:szCs w:val="20"/>
              </w:rPr>
              <w:t xml:space="preserve">Watchlist</w:t>
            </w:r>
          </w:p>
        </w:tc>
        <w:tc>
          <w:tcPr>
            <w:tcW w:type="dxa" w:w="2200"/>
          </w:tcPr>
          <w:p>
            <w:r>
              <w:rPr>
                <w:b w:val="false"/>
                <w:bCs w:val="false"/>
                <w:color w:val="000000"/>
                <w:sz w:val="20"/>
                <w:szCs w:val="20"/>
              </w:rPr>
              <w:t xml:space="preserve">77.20%</w:t>
            </w:r>
          </w:p>
        </w:tc>
        <w:tc>
          <w:tcPr>
            <w:tcW w:type="dxa" w:w="2500"/>
          </w:tcPr>
          <w:p>
            <w:r>
              <w:rPr>
                <w:b w:val="false"/>
                <w:bCs w:val="false"/>
                <w:color w:val="000000"/>
                <w:sz w:val="20"/>
                <w:szCs w:val="20"/>
              </w:rPr>
              <w:t xml:space="preserve">7.54%</w:t>
            </w:r>
          </w:p>
        </w:tc>
        <w:tc>
          <w:tcPr>
            <w:tcW w:type="dxa" w:w="2200"/>
          </w:tcPr>
          <w:p>
            <w:r>
              <w:rPr>
                <w:b w:val="false"/>
                <w:bCs w:val="false"/>
                <w:color w:val="000000"/>
                <w:sz w:val="20"/>
                <w:szCs w:val="20"/>
              </w:rPr>
              <w:t xml:space="preserve">0.36</w:t>
            </w:r>
          </w:p>
        </w:tc>
      </w:tr>
      <w:tr>
        <w:tc>
          <w:tcPr>
            <w:tcW w:type="dxa" w:w="2500"/>
          </w:tcPr>
          <w:p>
            <w:r>
              <w:rPr>
                <w:b w:val="false"/>
                <w:bCs w:val="false"/>
                <w:color w:val="000000"/>
                <w:sz w:val="20"/>
                <w:szCs w:val="20"/>
              </w:rPr>
              <w:t xml:space="preserve">High Risk</w:t>
            </w:r>
          </w:p>
        </w:tc>
        <w:tc>
          <w:tcPr>
            <w:tcW w:type="dxa" w:w="2200"/>
          </w:tcPr>
          <w:p>
            <w:r>
              <w:rPr>
                <w:b w:val="false"/>
                <w:bCs w:val="false"/>
                <w:color w:val="000000"/>
                <w:sz w:val="20"/>
                <w:szCs w:val="20"/>
              </w:rPr>
              <w:t xml:space="preserve">28.97%</w:t>
            </w:r>
          </w:p>
        </w:tc>
        <w:tc>
          <w:tcPr>
            <w:tcW w:type="dxa" w:w="2500"/>
          </w:tcPr>
          <w:p>
            <w:r>
              <w:rPr>
                <w:b w:val="false"/>
                <w:bCs w:val="false"/>
                <w:color w:val="000000"/>
                <w:sz w:val="20"/>
                <w:szCs w:val="20"/>
              </w:rPr>
              <w:t xml:space="preserve">60.35%</w:t>
            </w:r>
          </w:p>
        </w:tc>
        <w:tc>
          <w:tcPr>
            <w:tcW w:type="dxa" w:w="2200"/>
          </w:tcPr>
          <w:p>
            <w:r>
              <w:rPr>
                <w:b w:val="false"/>
                <w:bCs w:val="false"/>
                <w:color w:val="000000"/>
                <w:sz w:val="20"/>
                <w:szCs w:val="20"/>
              </w:rPr>
              <w:t xml:space="preserve">3.80</w:t>
            </w:r>
          </w:p>
        </w:tc>
      </w:tr>
      <w:tr>
        <w:tc>
          <w:tcPr>
            <w:tcW w:type="dxa" w:w="2500"/>
          </w:tcPr>
          <w:p>
            <w:r>
              <w:rPr>
                <w:b w:val="false"/>
                <w:bCs w:val="false"/>
                <w:color w:val="000000"/>
                <w:sz w:val="20"/>
                <w:szCs w:val="20"/>
              </w:rPr>
              <w:t xml:space="preserve">Critical Risk</w:t>
            </w:r>
          </w:p>
        </w:tc>
        <w:tc>
          <w:tcPr>
            <w:tcW w:type="dxa" w:w="2200"/>
          </w:tcPr>
          <w:p>
            <w:r>
              <w:rPr>
                <w:b w:val="false"/>
                <w:bCs w:val="false"/>
                <w:color w:val="000000"/>
                <w:sz w:val="20"/>
                <w:szCs w:val="20"/>
              </w:rPr>
              <w:t xml:space="preserve">65.44%</w:t>
            </w:r>
          </w:p>
        </w:tc>
        <w:tc>
          <w:tcPr>
            <w:tcW w:type="dxa" w:w="2500"/>
          </w:tcPr>
          <w:p>
            <w:r>
              <w:rPr>
                <w:b w:val="false"/>
                <w:bCs w:val="false"/>
                <w:color w:val="000000"/>
                <w:sz w:val="20"/>
                <w:szCs w:val="20"/>
              </w:rPr>
              <w:t xml:space="preserve">4.44%</w:t>
            </w:r>
          </w:p>
        </w:tc>
        <w:tc>
          <w:tcPr>
            <w:tcW w:type="dxa" w:w="2200"/>
          </w:tcPr>
          <w:p>
            <w:r>
              <w:rPr>
                <w:b w:val="false"/>
                <w:bCs w:val="false"/>
                <w:color w:val="000000"/>
                <w:sz w:val="20"/>
                <w:szCs w:val="20"/>
              </w:rPr>
              <w:t xml:space="preserve">4.63</w:t>
            </w:r>
          </w:p>
        </w:tc>
      </w:tr>
    </w:tbl>
    <w:p>
      <w:pPr>
        <w:pStyle w:val="Heading2"/>
        <w:spacing w:after="150" w:before="300"/>
      </w:pPr>
      <w:r>
        <w:t xml:space="preserve">13.6 Slicers</w:t>
      </w:r>
    </w:p>
    <w:p>
      <w:pPr>
        <w:spacing w:after="200"/>
      </w:pPr>
      <w:r>
        <w:t xml:space="preserve">The report is filterable by Risk Segment, Gender, Education Level, Marital Status, Age, and Default Next Month — all real fields present in the reporting view, deliberately not padded with fields the dataset doesn't actually have.</w:t>
      </w:r>
    </w:p>
    <w:p>
      <w:pPr>
        <w:pStyle w:val="Heading1"/>
        <w:spacing w:after="200" w:before="400"/>
      </w:pPr>
      <w:r>
        <w:t xml:space="preserve">14. Top Recommendations</w:t>
      </w:r>
    </w:p>
    <w:p>
      <w:pPr>
        <w:spacing w:after="200"/>
      </w:pPr>
      <w:r>
        <w:rPr>
          <w:b/>
          <w:bCs/>
        </w:rPr>
        <w:t xml:space="preserve">1. Monitor exposure alongside default probability, not instead of it. </w:t>
      </w:r>
      <w:r>
        <w:t xml:space="preserve">Critical Risk has the highest default rate (62.10%), but the Watchlist holds the largest outstanding balance (880.4M, 57.3% of the portfolio) and the highest average balance per customer. A monitoring process ranked only by default rate would under-prioritize the segment actually holding the most money at risk.</w:t>
      </w:r>
    </w:p>
    <w:p>
      <w:pPr>
        <w:spacing w:after="200"/>
      </w:pPr>
      <w:r>
        <w:rPr>
          <w:b/>
          <w:bCs/>
        </w:rPr>
        <w:t xml:space="preserve">2. Make persistent delinquency the first screening layer. </w:t>
      </w:r>
      <w:r>
        <w:t xml:space="preserve">It was the dominant driver in every test I ran — customers delinquent all six months defaulted at 70.32%, roughly six times the rate of customers with none. Repayment-history checks should come before utilization or payment-ratio checks, not alongside them.</w:t>
      </w:r>
    </w:p>
    <w:p>
      <w:pPr>
        <w:spacing w:after="200"/>
      </w:pPr>
      <w:r>
        <w:rPr>
          <w:b/>
          <w:bCs/>
        </w:rPr>
        <w:t xml:space="preserve">3. Use utilization as a secondary stratifier, not a standalone trigger. </w:t>
      </w:r>
      <w:r>
        <w:t xml:space="preserve">High-utilization customers with no delinquency still defaulted at only 13.38% — close to baseline. Utilization is most useful for splitting an already-delinquent group into higher and lower urgency, not for flagging customers on its own.</w:t>
      </w:r>
    </w:p>
    <w:p>
      <w:pPr>
        <w:spacing w:after="200"/>
      </w:pPr>
      <w:r>
        <w:rPr>
          <w:b/>
          <w:bCs/>
        </w:rPr>
        <w:t xml:space="preserve">4. Treat very-low payment ratio as a delinquency amplifier. </w:t>
      </w:r>
      <w:r>
        <w:t xml:space="preserve">On its own it barely moved the needle (13.49%, essentially baseline); paired with persistent delinquency it pushed default risk to 62.99%. Best used as an escalation signal for customers already flagged as delinquent.</w:t>
      </w:r>
    </w:p>
    <w:p>
      <w:pPr>
        <w:pStyle w:val="Heading1"/>
        <w:spacing w:after="200" w:before="400"/>
      </w:pPr>
      <w:r>
        <w:t xml:space="preserve">15. Challenges &amp;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F3A4D" w:color="auto" w:val="clear"/>
          </w:tcPr>
          <w:p>
            <w:r>
              <w:rPr>
                <w:b/>
                <w:bCs/>
                <w:color w:val="FFFFFF"/>
                <w:sz w:val="20"/>
                <w:szCs w:val="20"/>
              </w:rPr>
              <w:t xml:space="preserve">Challenge</w:t>
            </w:r>
          </w:p>
        </w:tc>
        <w:tc>
          <w:tcPr>
            <w:tcW w:type="dxa" w:w="4500"/>
            <w:shd w:fill="1F3A4D" w:color="auto" w:val="clear"/>
          </w:tcPr>
          <w:p>
            <w:r>
              <w:rPr>
                <w:b/>
                <w:bCs/>
                <w:color w:val="FFFFFF"/>
                <w:sz w:val="20"/>
                <w:szCs w:val="20"/>
              </w:rPr>
              <w:t xml:space="preserve">Solution</w:t>
            </w:r>
          </w:p>
        </w:tc>
      </w:tr>
      <w:tr>
        <w:tc>
          <w:tcPr>
            <w:tcW w:type="dxa" w:w="4500"/>
          </w:tcPr>
          <w:p>
            <w:r>
              <w:rPr>
                <w:b w:val="false"/>
                <w:bCs w:val="false"/>
                <w:color w:val="000000"/>
                <w:sz w:val="20"/>
                <w:szCs w:val="20"/>
              </w:rPr>
              <w:t xml:space="preserve">UCI documents -1 as pay duly and 1-9 as months of delay, but does not define the -2 and 0 codes also present in the data, and the raw file's two-row header risked importing metadata as a customer record</w:t>
            </w:r>
          </w:p>
        </w:tc>
        <w:tc>
          <w:tcPr>
            <w:tcW w:type="dxa" w:w="4500"/>
          </w:tcPr>
          <w:p>
            <w:r>
              <w:rPr>
                <w:b w:val="false"/>
                <w:bCs w:val="false"/>
                <w:color w:val="000000"/>
                <w:sz w:val="20"/>
                <w:szCs w:val="20"/>
              </w:rPr>
              <w:t xml:space="preserve">Profiled the actual code distributions first, documented an explicit stated assumption for the two genuinely undocumented codes, and stripped the metadata row from the import copy while leaving the original file untouched</w:t>
            </w:r>
          </w:p>
        </w:tc>
      </w:tr>
      <w:tr>
        <w:tc>
          <w:tcPr>
            <w:tcW w:type="dxa" w:w="4500"/>
          </w:tcPr>
          <w:p>
            <w:r>
              <w:rPr>
                <w:b w:val="false"/>
                <w:bCs w:val="false"/>
                <w:color w:val="000000"/>
                <w:sz w:val="20"/>
                <w:szCs w:val="20"/>
              </w:rPr>
              <w:t xml:space="preserve">EDUCATION and MARRIAGE contained undocumented category codes</w:t>
            </w:r>
          </w:p>
        </w:tc>
        <w:tc>
          <w:tcPr>
            <w:tcW w:type="dxa" w:w="4500"/>
          </w:tcPr>
          <w:p>
            <w:r>
              <w:rPr>
                <w:b w:val="false"/>
                <w:bCs w:val="false"/>
                <w:color w:val="000000"/>
                <w:sz w:val="20"/>
                <w:szCs w:val="20"/>
              </w:rPr>
              <w:t xml:space="preserve">Investigated frequency and impact before deciding anything; grouped them as Other/Unknown rather than deleting rows or inventing a meaning</w:t>
            </w:r>
          </w:p>
        </w:tc>
      </w:tr>
      <w:tr>
        <w:tc>
          <w:tcPr>
            <w:tcW w:type="dxa" w:w="4500"/>
          </w:tcPr>
          <w:p>
            <w:r>
              <w:rPr>
                <w:b w:val="false"/>
                <w:bCs w:val="false"/>
                <w:color w:val="000000"/>
                <w:sz w:val="20"/>
                <w:szCs w:val="20"/>
              </w:rPr>
              <w:t xml:space="preserve">An equal-weight three-flag risk score looked clean in aggregate but was hiding very different risk levels underneath</w:t>
            </w:r>
          </w:p>
        </w:tc>
        <w:tc>
          <w:tcPr>
            <w:tcW w:type="dxa" w:w="4500"/>
          </w:tcPr>
          <w:p>
            <w:r>
              <w:rPr>
                <w:b w:val="false"/>
                <w:bCs w:val="false"/>
                <w:color w:val="000000"/>
                <w:sz w:val="20"/>
                <w:szCs w:val="20"/>
              </w:rPr>
              <w:t xml:space="preserve">Broke the score into its eight individual flag combinations, found the factors weren't equally predictive, and rebuilt the segmentation from the empirical break instead of an invented point system</w:t>
            </w:r>
          </w:p>
        </w:tc>
      </w:tr>
      <w:tr>
        <w:tc>
          <w:tcPr>
            <w:tcW w:type="dxa" w:w="4500"/>
          </w:tcPr>
          <w:p>
            <w:r>
              <w:rPr>
                <w:b w:val="false"/>
                <w:bCs w:val="false"/>
                <w:color w:val="000000"/>
                <w:sz w:val="20"/>
                <w:szCs w:val="20"/>
              </w:rPr>
              <w:t xml:space="preserve">A draft exposure query drifted from the frozen segmentation logic, and separately an early exposure calculation returned a portfolio total roughly double the real figure for reasons that couldn't be fully confirmed</w:t>
            </w:r>
          </w:p>
        </w:tc>
        <w:tc>
          <w:tcPr>
            <w:tcW w:type="dxa" w:w="4500"/>
          </w:tcPr>
          <w:p>
            <w:r>
              <w:rPr>
                <w:b w:val="false"/>
                <w:bCs w:val="false"/>
                <w:color w:val="000000"/>
                <w:sz w:val="20"/>
                <w:szCs w:val="20"/>
              </w:rPr>
              <w:t xml:space="preserve">Corrected the segmentation logic before running the drifted query; for the numeric discrepancy, re-verified every figure directly against the final reporting view and an independently calculated total rather than guess at the root cause</w:t>
            </w:r>
          </w:p>
        </w:tc>
      </w:tr>
      <w:tr>
        <w:tc>
          <w:tcPr>
            <w:tcW w:type="dxa" w:w="4500"/>
          </w:tcPr>
          <w:p>
            <w:r>
              <w:rPr>
                <w:b w:val="false"/>
                <w:bCs w:val="false"/>
                <w:color w:val="000000"/>
                <w:sz w:val="20"/>
                <w:szCs w:val="20"/>
              </w:rPr>
              <w:t xml:space="preserve">Power BI's default Percentage format would have misrepresented SQL columns already stored as percentage points</w:t>
            </w:r>
          </w:p>
        </w:tc>
        <w:tc>
          <w:tcPr>
            <w:tcW w:type="dxa" w:w="4500"/>
          </w:tcPr>
          <w:p>
            <w:r>
              <w:rPr>
                <w:b w:val="false"/>
                <w:bCs w:val="false"/>
                <w:color w:val="000000"/>
                <w:sz w:val="20"/>
                <w:szCs w:val="20"/>
              </w:rPr>
              <w:t xml:space="preserve">Kept those fields as plain decimals and built dedicated DAX measures for the visuals that specifically needed native percentage formatting</w:t>
            </w:r>
          </w:p>
        </w:tc>
      </w:tr>
    </w:tbl>
    <w:p>
      <w:pPr>
        <w:pStyle w:val="Heading1"/>
        <w:spacing w:after="200" w:before="400"/>
      </w:pPr>
      <w:r>
        <w:t xml:space="preserve">16. Limitations and Analytical Restraint</w:t>
      </w:r>
    </w:p>
    <w:p>
      <w:pPr>
        <w:pStyle w:val="ListParagraph"/>
        <w:numPr>
          <w:ilvl w:val="0"/>
          <w:numId w:val="1"/>
        </w:numPr>
        <w:spacing w:after="120"/>
      </w:pPr>
      <w:r>
        <w:t xml:space="preserve">The dataset represents Taiwanese credit-card customers and 2005 account behaviour; the results should not be presented as current market benchmarks.</w:t>
      </w:r>
    </w:p>
    <w:p>
      <w:pPr>
        <w:pStyle w:val="ListParagraph"/>
        <w:numPr>
          <w:ilvl w:val="0"/>
          <w:numId w:val="1"/>
        </w:numPr>
        <w:spacing w:after="120"/>
      </w:pPr>
      <w:r>
        <w:t xml:space="preserve">The segmentation is descriptive and rule-based, built for portfolio monitoring, not a production underwriting model.</w:t>
      </w:r>
    </w:p>
    <w:p>
      <w:pPr>
        <w:pStyle w:val="ListParagraph"/>
        <w:numPr>
          <w:ilvl w:val="0"/>
          <w:numId w:val="1"/>
        </w:numPr>
        <w:spacing w:after="120"/>
      </w:pPr>
      <w:r>
        <w:t xml:space="preserve">The source does not provide LGD or EAD assumptions, so no expected-loss figure was calculated.</w:t>
      </w:r>
    </w:p>
    <w:p>
      <w:pPr>
        <w:pStyle w:val="ListParagraph"/>
        <w:numPr>
          <w:ilvl w:val="0"/>
          <w:numId w:val="1"/>
        </w:numPr>
        <w:spacing w:after="120"/>
      </w:pPr>
      <w:r>
        <w:t xml:space="preserve">Undocumented repayment-status and demographic category values were preserved rather than assigned unsupported meanings.</w:t>
      </w:r>
    </w:p>
    <w:p>
      <w:pPr>
        <w:pStyle w:val="ListParagraph"/>
        <w:numPr>
          <w:ilvl w:val="0"/>
          <w:numId w:val="1"/>
        </w:numPr>
        <w:spacing w:after="120"/>
      </w:pPr>
      <w:r>
        <w:t xml:space="preserve">Negative bill balances and utilization above 100% were retained because they are observed account behaviours, not proven data errors.</w:t>
      </w:r>
    </w:p>
    <w:p>
      <w:pPr>
        <w:pStyle w:val="ListParagraph"/>
        <w:numPr>
          <w:ilvl w:val="0"/>
          <w:numId w:val="1"/>
        </w:numPr>
        <w:spacing w:after="120"/>
      </w:pPr>
      <w:r>
        <w:t xml:space="preserve">The project intentionally rejected an equal-weight score once diagnostics showed the components were not equally predictive.</w:t>
      </w:r>
    </w:p>
    <w:p>
      <w:pPr>
        <w:pStyle w:val="Heading1"/>
        <w:spacing w:after="200" w:before="400"/>
      </w:pPr>
      <w:r>
        <w:t xml:space="preserve">17. Skills Demonstrated</w:t>
      </w:r>
    </w:p>
    <w:p>
      <w:pPr>
        <w:spacing w:after="200"/>
      </w:pPr>
      <w:r>
        <w:t xml:space="preserve">MySQL · Advanced SQL (CTEs, window functions, CASE-based segmentation) · Data profiling &amp; data-quality investigation · Data cleaning &amp; transformation · Behavioural feature engineering · Hypothesis testing &amp; diagnostic decomposition · Risk segmentation · Portfolio exposure analysis · Power BI · DAX · Data storytelling</w:t>
      </w:r>
    </w:p>
    <w:p>
      <w:pPr>
        <w:pStyle w:val="Heading1"/>
        <w:spacing w:after="200" w:before="400"/>
      </w:pPr>
      <w:r>
        <w:t xml:space="preserve">18. Reproducibility and Repository Structure</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README.md</w:t>
      </w:r>
      <w:r>
        <w:rPr>
          <w:rFonts w:ascii="Consolas" w:cs="Consolas" w:eastAsia="Consolas" w:hAnsi="Consolas"/>
          <w:sz w:val="18"/>
          <w:szCs w:val="18"/>
        </w:rPr>
        <w:br/>
        <w:t xml:space="preserve">Credit_Risk_Portfolio_Project_Documentation.docx</w:t>
      </w:r>
      <w:r>
        <w:rPr>
          <w:rFonts w:ascii="Consolas" w:cs="Consolas" w:eastAsia="Consolas" w:hAnsi="Consolas"/>
          <w:sz w:val="18"/>
          <w:szCs w:val="18"/>
        </w:rPr>
        <w:br/>
        <w:t xml:space="preserve">credit_risk_analysis_full.sql</w:t>
      </w:r>
      <w:r>
        <w:rPr>
          <w:rFonts w:ascii="Consolas" w:cs="Consolas" w:eastAsia="Consolas" w:hAnsi="Consolas"/>
          <w:sz w:val="18"/>
          <w:szCs w:val="18"/>
        </w:rPr>
        <w:br/>
        <w:t xml:space="preserve">Credit-Risk-Portfolio-Monitoring.pbix</w:t>
      </w:r>
      <w:r>
        <w:rPr>
          <w:rFonts w:ascii="Consolas" w:cs="Consolas" w:eastAsia="Consolas" w:hAnsi="Consolas"/>
          <w:sz w:val="18"/>
          <w:szCs w:val="18"/>
        </w:rPr>
        <w:br/>
        <w:t xml:space="preserve">assets/</w:t>
      </w:r>
      <w:r>
        <w:rPr>
          <w:rFonts w:ascii="Consolas" w:cs="Consolas" w:eastAsia="Consolas" w:hAnsi="Consolas"/>
          <w:sz w:val="18"/>
          <w:szCs w:val="18"/>
        </w:rPr>
        <w:br/>
        <w:t xml:space="preserve">    dashboard.png</w:t>
      </w:r>
    </w:p>
    <w:p>
      <w:pPr>
        <w:spacing w:after="200"/>
      </w:pPr>
      <w:r>
        <w:t xml:space="preserve">The accompanying file credit_risk_analysis_full.sql contains the complete, reproducible SQL workflow described in this report: profiling, clean-table creation, behavioural analysis, the rejected-hypothesis diagnostic, the frozen segmentation, exposure analysis, the final reporting view, and validation queries.</w:t>
      </w:r>
    </w:p>
    <w:p>
      <w:pPr>
        <w:spacing w:before="200"/>
      </w:pPr>
    </w:p>
    <w:p>
      <w:pPr>
        <w:pStyle w:val="Heading2"/>
        <w:spacing w:after="150" w:before="300"/>
      </w:pPr>
      <w:r>
        <w:t xml:space="preserve">Portfolio-ready project summary</w:t>
      </w:r>
    </w:p>
    <w:p>
      <w:pPr>
        <w:spacing w:after="200"/>
      </w:pPr>
      <w:r>
        <w:t xml:space="preserve">Built an end-to-end credit-risk analytics solution for 30,000 credit-card customers using MySQL and Power BI. Profiled and cleaned raw UCI data, tested delinquency/utilization/payment hypotheses, rejected an unjustified equal-weight score, created a four-level risk segmentation, quantified 1.54bn of portfolio exposure, and designed an executive dashboard showing why the customers with the highest default probability are not necessarily the customers carrying the highest financial exposure.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135db2b52c719f2fbbbceeae367edfdc5723c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2026-09-15T23:08:00.728Z</dcterms:created>
  <dcterms:modified xsi:type="dcterms:W3CDTF">2026-09-15T23:08:00.740Z</dcterms:modified>
</cp:coreProperties>
</file>

<file path=docProps/custom.xml><?xml version="1.0" encoding="utf-8"?>
<Properties xmlns="http://schemas.openxmlformats.org/officeDocument/2006/custom-properties" xmlns:vt="http://schemas.openxmlformats.org/officeDocument/2006/docPropsVTypes"/>
</file>