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3864"/>
          <w:sz w:val="36"/>
        </w:rPr>
        <w:t>4. Results &amp; Discussion: BESS Impact on Feeder Voltage</w:t>
      </w:r>
    </w:p>
    <w:p/>
    <w:p>
      <w:pPr>
        <w:pStyle w:val="Heading1"/>
        <w:jc w:val="left"/>
      </w:pPr>
      <w:r>
        <w:rPr>
          <w:b/>
          <w:color w:val="1F3864"/>
          <w:sz w:val="32"/>
        </w:rPr>
        <w:t>4.1  Bus 675 Phase-A Voltage Profile Analysis</w:t>
      </w:r>
    </w:p>
    <w:p>
      <w:pPr>
        <w:spacing w:before="80" w:after="120"/>
      </w:pPr>
      <w:r>
        <w:rPr>
          <w:b w:val="0"/>
          <w:i w:val="0"/>
          <w:color w:val="000000"/>
          <w:sz w:val="22"/>
        </w:rPr>
        <w:t>To evaluate the effectiveness of the integrated 350 kW / 1400 kWh Battery Energy Storage System (BESS) paired with solar PV, a 24-hour daily load flow analysis was performed on the IEEE 13-bus distribution feeder. Table 4.1 details the Phase-A voltage (V₁) at Bus 675 across the 24-hour dispatch cycle, comparing baseline feeder voltages against the BESS-supported grid state.</w:t>
      </w:r>
    </w:p>
    <w:p>
      <w:pPr>
        <w:jc w:val="center"/>
      </w:pPr>
      <w:r>
        <w:rPr>
          <w:b/>
          <w:color w:val="1F3864"/>
          <w:sz w:val="22"/>
        </w:rPr>
        <w:t>Table 4.1: 24-Hour Phase-A Voltage Comparison at Bus 675</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F3864"/>
          </w:tcPr>
          <w:p>
            <w:pPr>
              <w:jc w:val="center"/>
            </w:pPr>
            <w:r>
              <w:rPr>
                <w:b/>
                <w:color w:val="FFFFFF"/>
                <w:sz w:val="19"/>
              </w:rPr>
              <w:t>Hour</w:t>
            </w:r>
          </w:p>
        </w:tc>
        <w:tc>
          <w:tcPr>
            <w:tcW w:type="dxa" w:w="1520"/>
            <w:shd w:val="clear" w:color="auto" w:fill="1F3864"/>
          </w:tcPr>
          <w:p>
            <w:pPr>
              <w:jc w:val="center"/>
            </w:pPr>
            <w:r>
              <w:rPr>
                <w:b/>
                <w:color w:val="FFFFFF"/>
                <w:sz w:val="19"/>
              </w:rPr>
              <w:t>Before (V)</w:t>
            </w:r>
          </w:p>
        </w:tc>
        <w:tc>
          <w:tcPr>
            <w:tcW w:type="dxa" w:w="1520"/>
            <w:shd w:val="clear" w:color="auto" w:fill="1F3864"/>
          </w:tcPr>
          <w:p>
            <w:pPr>
              <w:jc w:val="center"/>
            </w:pPr>
            <w:r>
              <w:rPr>
                <w:b/>
                <w:color w:val="FFFFFF"/>
                <w:sz w:val="19"/>
              </w:rPr>
              <w:t>After (V)</w:t>
            </w:r>
          </w:p>
        </w:tc>
        <w:tc>
          <w:tcPr>
            <w:tcW w:type="dxa" w:w="1520"/>
            <w:shd w:val="clear" w:color="auto" w:fill="1F3864"/>
          </w:tcPr>
          <w:p>
            <w:pPr>
              <w:jc w:val="center"/>
            </w:pPr>
            <w:r>
              <w:rPr>
                <w:b/>
                <w:color w:val="FFFFFF"/>
                <w:sz w:val="19"/>
              </w:rPr>
              <w:t>ΔV Improvement (V)</w:t>
            </w:r>
          </w:p>
        </w:tc>
        <w:tc>
          <w:tcPr>
            <w:tcW w:type="dxa" w:w="1520"/>
            <w:shd w:val="clear" w:color="auto" w:fill="1F3864"/>
          </w:tcPr>
          <w:p>
            <w:pPr>
              <w:jc w:val="center"/>
            </w:pPr>
            <w:r>
              <w:rPr>
                <w:b/>
                <w:color w:val="FFFFFF"/>
                <w:sz w:val="19"/>
              </w:rPr>
              <w:t>% Improvement</w:t>
            </w:r>
          </w:p>
        </w:tc>
        <w:tc>
          <w:tcPr>
            <w:tcW w:type="dxa" w:w="1520"/>
            <w:shd w:val="clear" w:color="auto" w:fill="1F3864"/>
          </w:tcPr>
          <w:p>
            <w:pPr>
              <w:jc w:val="center"/>
            </w:pPr>
            <w:r>
              <w:rPr>
                <w:b/>
                <w:color w:val="FFFFFF"/>
                <w:sz w:val="19"/>
              </w:rPr>
              <w:t>BESS Operational State</w:t>
            </w:r>
          </w:p>
        </w:tc>
      </w:tr>
      <w:tr>
        <w:tc>
          <w:tcPr>
            <w:tcW w:type="dxa" w:w="1520"/>
            <w:shd w:val="clear" w:color="auto" w:fill="FFFFFF"/>
          </w:tcPr>
          <w:p>
            <w:pPr>
              <w:jc w:val="center"/>
            </w:pPr>
            <w:r>
              <w:rPr>
                <w:sz w:val="19"/>
              </w:rPr>
              <w:t>1</w:t>
            </w:r>
          </w:p>
        </w:tc>
        <w:tc>
          <w:tcPr>
            <w:tcW w:type="dxa" w:w="1520"/>
            <w:shd w:val="clear" w:color="auto" w:fill="FFFFFF"/>
          </w:tcPr>
          <w:p>
            <w:pPr>
              <w:jc w:val="center"/>
            </w:pPr>
            <w:r>
              <w:rPr>
                <w:sz w:val="19"/>
              </w:rPr>
              <w:t>2366.73</w:t>
            </w:r>
          </w:p>
        </w:tc>
        <w:tc>
          <w:tcPr>
            <w:tcW w:type="dxa" w:w="1520"/>
            <w:shd w:val="clear" w:color="auto" w:fill="FFFFFF"/>
          </w:tcPr>
          <w:p>
            <w:pPr>
              <w:jc w:val="center"/>
            </w:pPr>
            <w:r>
              <w:rPr>
                <w:sz w:val="19"/>
              </w:rPr>
              <w:t>2398.46</w:t>
            </w:r>
          </w:p>
        </w:tc>
        <w:tc>
          <w:tcPr>
            <w:tcW w:type="dxa" w:w="1520"/>
            <w:shd w:val="clear" w:color="auto" w:fill="FFFFFF"/>
          </w:tcPr>
          <w:p>
            <w:pPr>
              <w:jc w:val="center"/>
            </w:pPr>
            <w:r>
              <w:rPr>
                <w:b/>
                <w:color w:val="375A23"/>
                <w:sz w:val="19"/>
              </w:rPr>
              <w:t>+31.73</w:t>
            </w:r>
          </w:p>
        </w:tc>
        <w:tc>
          <w:tcPr>
            <w:tcW w:type="dxa" w:w="1520"/>
            <w:shd w:val="clear" w:color="auto" w:fill="FFFFFF"/>
          </w:tcPr>
          <w:p>
            <w:pPr>
              <w:jc w:val="center"/>
            </w:pPr>
            <w:r>
              <w:rPr>
                <w:sz w:val="19"/>
              </w:rPr>
              <w:t>+1.34%</w:t>
            </w:r>
          </w:p>
        </w:tc>
        <w:tc>
          <w:tcPr>
            <w:tcW w:type="dxa" w:w="1520"/>
            <w:shd w:val="clear" w:color="auto" w:fill="FFFFFF"/>
          </w:tcPr>
          <w:p>
            <w:pPr>
              <w:jc w:val="center"/>
            </w:pPr>
            <w:r>
              <w:rPr>
                <w:sz w:val="19"/>
              </w:rPr>
              <w:t>Off-Peak Charging</w:t>
            </w:r>
          </w:p>
        </w:tc>
      </w:tr>
      <w:tr>
        <w:tc>
          <w:tcPr>
            <w:tcW w:type="dxa" w:w="1520"/>
            <w:shd w:val="clear" w:color="auto" w:fill="EBF3FB"/>
          </w:tcPr>
          <w:p>
            <w:pPr>
              <w:jc w:val="center"/>
            </w:pPr>
            <w:r>
              <w:rPr>
                <w:sz w:val="19"/>
              </w:rPr>
              <w:t>2</w:t>
            </w:r>
          </w:p>
        </w:tc>
        <w:tc>
          <w:tcPr>
            <w:tcW w:type="dxa" w:w="1520"/>
            <w:shd w:val="clear" w:color="auto" w:fill="EBF3FB"/>
          </w:tcPr>
          <w:p>
            <w:pPr>
              <w:jc w:val="center"/>
            </w:pPr>
            <w:r>
              <w:rPr>
                <w:sz w:val="19"/>
              </w:rPr>
              <w:t>2381.83</w:t>
            </w:r>
          </w:p>
        </w:tc>
        <w:tc>
          <w:tcPr>
            <w:tcW w:type="dxa" w:w="1520"/>
            <w:shd w:val="clear" w:color="auto" w:fill="EBF3FB"/>
          </w:tcPr>
          <w:p>
            <w:pPr>
              <w:jc w:val="center"/>
            </w:pPr>
            <w:r>
              <w:rPr>
                <w:sz w:val="19"/>
              </w:rPr>
              <w:t>2397.62</w:t>
            </w:r>
          </w:p>
        </w:tc>
        <w:tc>
          <w:tcPr>
            <w:tcW w:type="dxa" w:w="1520"/>
            <w:shd w:val="clear" w:color="auto" w:fill="EBF3FB"/>
          </w:tcPr>
          <w:p>
            <w:pPr>
              <w:jc w:val="center"/>
            </w:pPr>
            <w:r>
              <w:rPr>
                <w:b/>
                <w:color w:val="375A23"/>
                <w:sz w:val="19"/>
              </w:rPr>
              <w:t>+15.79</w:t>
            </w:r>
          </w:p>
        </w:tc>
        <w:tc>
          <w:tcPr>
            <w:tcW w:type="dxa" w:w="1520"/>
            <w:shd w:val="clear" w:color="auto" w:fill="EBF3FB"/>
          </w:tcPr>
          <w:p>
            <w:pPr>
              <w:jc w:val="center"/>
            </w:pPr>
            <w:r>
              <w:rPr>
                <w:sz w:val="19"/>
              </w:rPr>
              <w:t>+0.66%</w:t>
            </w:r>
          </w:p>
        </w:tc>
        <w:tc>
          <w:tcPr>
            <w:tcW w:type="dxa" w:w="1520"/>
            <w:shd w:val="clear" w:color="auto" w:fill="EBF3FB"/>
          </w:tcPr>
          <w:p>
            <w:pPr>
              <w:jc w:val="center"/>
            </w:pPr>
            <w:r>
              <w:rPr>
                <w:sz w:val="19"/>
              </w:rPr>
              <w:t>Off-Peak Charging</w:t>
            </w:r>
          </w:p>
        </w:tc>
      </w:tr>
      <w:tr>
        <w:tc>
          <w:tcPr>
            <w:tcW w:type="dxa" w:w="1520"/>
            <w:shd w:val="clear" w:color="auto" w:fill="FFFFFF"/>
          </w:tcPr>
          <w:p>
            <w:pPr>
              <w:jc w:val="center"/>
            </w:pPr>
            <w:r>
              <w:rPr>
                <w:sz w:val="19"/>
              </w:rPr>
              <w:t>3</w:t>
            </w:r>
          </w:p>
        </w:tc>
        <w:tc>
          <w:tcPr>
            <w:tcW w:type="dxa" w:w="1520"/>
            <w:shd w:val="clear" w:color="auto" w:fill="FFFFFF"/>
          </w:tcPr>
          <w:p>
            <w:pPr>
              <w:jc w:val="center"/>
            </w:pPr>
            <w:r>
              <w:rPr>
                <w:sz w:val="19"/>
              </w:rPr>
              <w:t>2396.70</w:t>
            </w:r>
          </w:p>
        </w:tc>
        <w:tc>
          <w:tcPr>
            <w:tcW w:type="dxa" w:w="1520"/>
            <w:shd w:val="clear" w:color="auto" w:fill="FFFFFF"/>
          </w:tcPr>
          <w:p>
            <w:pPr>
              <w:jc w:val="center"/>
            </w:pPr>
            <w:r>
              <w:rPr>
                <w:sz w:val="19"/>
              </w:rPr>
              <w:t>2412.54</w:t>
            </w:r>
          </w:p>
        </w:tc>
        <w:tc>
          <w:tcPr>
            <w:tcW w:type="dxa" w:w="1520"/>
            <w:shd w:val="clear" w:color="auto" w:fill="FFFFFF"/>
          </w:tcPr>
          <w:p>
            <w:pPr>
              <w:jc w:val="center"/>
            </w:pPr>
            <w:r>
              <w:rPr>
                <w:b/>
                <w:color w:val="375A23"/>
                <w:sz w:val="19"/>
              </w:rPr>
              <w:t>+15.84</w:t>
            </w:r>
          </w:p>
        </w:tc>
        <w:tc>
          <w:tcPr>
            <w:tcW w:type="dxa" w:w="1520"/>
            <w:shd w:val="clear" w:color="auto" w:fill="FFFFFF"/>
          </w:tcPr>
          <w:p>
            <w:pPr>
              <w:jc w:val="center"/>
            </w:pPr>
            <w:r>
              <w:rPr>
                <w:sz w:val="19"/>
              </w:rPr>
              <w:t>+0.66%</w:t>
            </w:r>
          </w:p>
        </w:tc>
        <w:tc>
          <w:tcPr>
            <w:tcW w:type="dxa" w:w="1520"/>
            <w:shd w:val="clear" w:color="auto" w:fill="FFFFFF"/>
          </w:tcPr>
          <w:p>
            <w:pPr>
              <w:jc w:val="center"/>
            </w:pPr>
            <w:r>
              <w:rPr>
                <w:sz w:val="19"/>
              </w:rPr>
              <w:t>Off-Peak Charging</w:t>
            </w:r>
          </w:p>
        </w:tc>
      </w:tr>
      <w:tr>
        <w:tc>
          <w:tcPr>
            <w:tcW w:type="dxa" w:w="1520"/>
            <w:shd w:val="clear" w:color="auto" w:fill="EBF3FB"/>
          </w:tcPr>
          <w:p>
            <w:pPr>
              <w:jc w:val="center"/>
            </w:pPr>
            <w:r>
              <w:rPr>
                <w:sz w:val="19"/>
              </w:rPr>
              <w:t>4</w:t>
            </w:r>
          </w:p>
        </w:tc>
        <w:tc>
          <w:tcPr>
            <w:tcW w:type="dxa" w:w="1520"/>
            <w:shd w:val="clear" w:color="auto" w:fill="EBF3FB"/>
          </w:tcPr>
          <w:p>
            <w:pPr>
              <w:jc w:val="center"/>
            </w:pPr>
            <w:r>
              <w:rPr>
                <w:sz w:val="19"/>
              </w:rPr>
              <w:t>2411.38</w:t>
            </w:r>
          </w:p>
        </w:tc>
        <w:tc>
          <w:tcPr>
            <w:tcW w:type="dxa" w:w="1520"/>
            <w:shd w:val="clear" w:color="auto" w:fill="EBF3FB"/>
          </w:tcPr>
          <w:p>
            <w:pPr>
              <w:jc w:val="center"/>
            </w:pPr>
            <w:r>
              <w:rPr>
                <w:sz w:val="19"/>
              </w:rPr>
              <w:t>2411.40</w:t>
            </w:r>
          </w:p>
        </w:tc>
        <w:tc>
          <w:tcPr>
            <w:tcW w:type="dxa" w:w="1520"/>
            <w:shd w:val="clear" w:color="auto" w:fill="EBF3FB"/>
          </w:tcPr>
          <w:p>
            <w:pPr>
              <w:jc w:val="center"/>
            </w:pPr>
            <w:r>
              <w:rPr>
                <w:b/>
                <w:color w:val="375A23"/>
                <w:sz w:val="19"/>
              </w:rPr>
              <w:t>+0.02</w:t>
            </w:r>
          </w:p>
        </w:tc>
        <w:tc>
          <w:tcPr>
            <w:tcW w:type="dxa" w:w="1520"/>
            <w:shd w:val="clear" w:color="auto" w:fill="EBF3FB"/>
          </w:tcPr>
          <w:p>
            <w:pPr>
              <w:jc w:val="center"/>
            </w:pPr>
            <w:r>
              <w:rPr>
                <w:sz w:val="19"/>
              </w:rPr>
              <w:t>+0.00%</w:t>
            </w:r>
          </w:p>
        </w:tc>
        <w:tc>
          <w:tcPr>
            <w:tcW w:type="dxa" w:w="1520"/>
            <w:shd w:val="clear" w:color="auto" w:fill="EBF3FB"/>
          </w:tcPr>
          <w:p>
            <w:pPr>
              <w:jc w:val="center"/>
            </w:pPr>
            <w:r>
              <w:rPr>
                <w:sz w:val="19"/>
              </w:rPr>
              <w:t>Off-Peak Charging</w:t>
            </w:r>
          </w:p>
        </w:tc>
      </w:tr>
      <w:tr>
        <w:tc>
          <w:tcPr>
            <w:tcW w:type="dxa" w:w="1520"/>
            <w:shd w:val="clear" w:color="auto" w:fill="FFFFFF"/>
          </w:tcPr>
          <w:p>
            <w:pPr>
              <w:jc w:val="center"/>
            </w:pPr>
            <w:r>
              <w:rPr>
                <w:sz w:val="19"/>
              </w:rPr>
              <w:t>5</w:t>
            </w:r>
          </w:p>
        </w:tc>
        <w:tc>
          <w:tcPr>
            <w:tcW w:type="dxa" w:w="1520"/>
            <w:shd w:val="clear" w:color="auto" w:fill="FFFFFF"/>
          </w:tcPr>
          <w:p>
            <w:pPr>
              <w:jc w:val="center"/>
            </w:pPr>
            <w:r>
              <w:rPr>
                <w:sz w:val="19"/>
              </w:rPr>
              <w:t>2410.32</w:t>
            </w:r>
          </w:p>
        </w:tc>
        <w:tc>
          <w:tcPr>
            <w:tcW w:type="dxa" w:w="1520"/>
            <w:shd w:val="clear" w:color="auto" w:fill="FFFFFF"/>
          </w:tcPr>
          <w:p>
            <w:pPr>
              <w:jc w:val="center"/>
            </w:pPr>
            <w:r>
              <w:rPr>
                <w:sz w:val="19"/>
              </w:rPr>
              <w:t>2410.32</w:t>
            </w:r>
          </w:p>
        </w:tc>
        <w:tc>
          <w:tcPr>
            <w:tcW w:type="dxa" w:w="1520"/>
            <w:shd w:val="clear" w:color="auto" w:fill="FFFFFF"/>
          </w:tcPr>
          <w:p>
            <w:pPr>
              <w:jc w:val="center"/>
            </w:pPr>
            <w:r>
              <w:rPr>
                <w:sz w:val="19"/>
              </w:rPr>
              <w:t>0.00</w:t>
            </w:r>
          </w:p>
        </w:tc>
        <w:tc>
          <w:tcPr>
            <w:tcW w:type="dxa" w:w="1520"/>
            <w:shd w:val="clear" w:color="auto" w:fill="FFFFFF"/>
          </w:tcPr>
          <w:p>
            <w:pPr>
              <w:jc w:val="center"/>
            </w:pPr>
            <w:r>
              <w:rPr>
                <w:sz w:val="19"/>
              </w:rPr>
              <w:t>0.00%</w:t>
            </w:r>
          </w:p>
        </w:tc>
        <w:tc>
          <w:tcPr>
            <w:tcW w:type="dxa" w:w="1520"/>
            <w:shd w:val="clear" w:color="auto" w:fill="FFFFFF"/>
          </w:tcPr>
          <w:p>
            <w:pPr>
              <w:jc w:val="center"/>
            </w:pPr>
            <w:r>
              <w:rPr>
                <w:sz w:val="19"/>
              </w:rPr>
              <w:t>Off-Peak Charging</w:t>
            </w:r>
          </w:p>
        </w:tc>
      </w:tr>
      <w:tr>
        <w:tc>
          <w:tcPr>
            <w:tcW w:type="dxa" w:w="1520"/>
            <w:shd w:val="clear" w:color="auto" w:fill="EBF3FB"/>
          </w:tcPr>
          <w:p>
            <w:pPr>
              <w:jc w:val="center"/>
            </w:pPr>
            <w:r>
              <w:rPr>
                <w:sz w:val="19"/>
              </w:rPr>
              <w:t>6</w:t>
            </w:r>
          </w:p>
        </w:tc>
        <w:tc>
          <w:tcPr>
            <w:tcW w:type="dxa" w:w="1520"/>
            <w:shd w:val="clear" w:color="auto" w:fill="EBF3FB"/>
          </w:tcPr>
          <w:p>
            <w:pPr>
              <w:jc w:val="center"/>
            </w:pPr>
            <w:r>
              <w:rPr>
                <w:sz w:val="19"/>
              </w:rPr>
              <w:t>2395.79</w:t>
            </w:r>
          </w:p>
        </w:tc>
        <w:tc>
          <w:tcPr>
            <w:tcW w:type="dxa" w:w="1520"/>
            <w:shd w:val="clear" w:color="auto" w:fill="EBF3FB"/>
          </w:tcPr>
          <w:p>
            <w:pPr>
              <w:jc w:val="center"/>
            </w:pPr>
            <w:r>
              <w:rPr>
                <w:sz w:val="19"/>
              </w:rPr>
              <w:t>2398.17</w:t>
            </w:r>
          </w:p>
        </w:tc>
        <w:tc>
          <w:tcPr>
            <w:tcW w:type="dxa" w:w="1520"/>
            <w:shd w:val="clear" w:color="auto" w:fill="EBF3FB"/>
          </w:tcPr>
          <w:p>
            <w:pPr>
              <w:jc w:val="center"/>
            </w:pPr>
            <w:r>
              <w:rPr>
                <w:b/>
                <w:color w:val="375A23"/>
                <w:sz w:val="19"/>
              </w:rPr>
              <w:t>+2.38</w:t>
            </w:r>
          </w:p>
        </w:tc>
        <w:tc>
          <w:tcPr>
            <w:tcW w:type="dxa" w:w="1520"/>
            <w:shd w:val="clear" w:color="auto" w:fill="EBF3FB"/>
          </w:tcPr>
          <w:p>
            <w:pPr>
              <w:jc w:val="center"/>
            </w:pPr>
            <w:r>
              <w:rPr>
                <w:sz w:val="19"/>
              </w:rPr>
              <w:t>+0.10%</w:t>
            </w:r>
          </w:p>
        </w:tc>
        <w:tc>
          <w:tcPr>
            <w:tcW w:type="dxa" w:w="1520"/>
            <w:shd w:val="clear" w:color="auto" w:fill="EBF3FB"/>
          </w:tcPr>
          <w:p>
            <w:pPr>
              <w:jc w:val="center"/>
            </w:pPr>
            <w:r>
              <w:rPr>
                <w:sz w:val="19"/>
              </w:rPr>
              <w:t>Transition / Solar Ramp</w:t>
            </w:r>
          </w:p>
        </w:tc>
      </w:tr>
      <w:tr>
        <w:tc>
          <w:tcPr>
            <w:tcW w:type="dxa" w:w="1520"/>
            <w:shd w:val="clear" w:color="auto" w:fill="FFFFFF"/>
          </w:tcPr>
          <w:p>
            <w:pPr>
              <w:jc w:val="center"/>
            </w:pPr>
            <w:r>
              <w:rPr>
                <w:sz w:val="19"/>
              </w:rPr>
              <w:t>7</w:t>
            </w:r>
          </w:p>
        </w:tc>
        <w:tc>
          <w:tcPr>
            <w:tcW w:type="dxa" w:w="1520"/>
            <w:shd w:val="clear" w:color="auto" w:fill="FFFFFF"/>
          </w:tcPr>
          <w:p>
            <w:pPr>
              <w:jc w:val="center"/>
            </w:pPr>
            <w:r>
              <w:rPr>
                <w:sz w:val="19"/>
              </w:rPr>
              <w:t>2366.74</w:t>
            </w:r>
          </w:p>
        </w:tc>
        <w:tc>
          <w:tcPr>
            <w:tcW w:type="dxa" w:w="1520"/>
            <w:shd w:val="clear" w:color="auto" w:fill="FFFFFF"/>
          </w:tcPr>
          <w:p>
            <w:pPr>
              <w:jc w:val="center"/>
            </w:pPr>
            <w:r>
              <w:rPr>
                <w:sz w:val="19"/>
              </w:rPr>
              <w:t>2366.74</w:t>
            </w:r>
          </w:p>
        </w:tc>
        <w:tc>
          <w:tcPr>
            <w:tcW w:type="dxa" w:w="1520"/>
            <w:shd w:val="clear" w:color="auto" w:fill="FFFFFF"/>
          </w:tcPr>
          <w:p>
            <w:pPr>
              <w:jc w:val="center"/>
            </w:pPr>
            <w:r>
              <w:rPr>
                <w:sz w:val="19"/>
              </w:rPr>
              <w:t>0.00</w:t>
            </w:r>
          </w:p>
        </w:tc>
        <w:tc>
          <w:tcPr>
            <w:tcW w:type="dxa" w:w="1520"/>
            <w:shd w:val="clear" w:color="auto" w:fill="FFFFFF"/>
          </w:tcPr>
          <w:p>
            <w:pPr>
              <w:jc w:val="center"/>
            </w:pPr>
            <w:r>
              <w:rPr>
                <w:sz w:val="19"/>
              </w:rPr>
              <w:t>0.00%</w:t>
            </w:r>
          </w:p>
        </w:tc>
        <w:tc>
          <w:tcPr>
            <w:tcW w:type="dxa" w:w="1520"/>
            <w:shd w:val="clear" w:color="auto" w:fill="FFFFFF"/>
          </w:tcPr>
          <w:p>
            <w:pPr>
              <w:jc w:val="center"/>
            </w:pPr>
            <w:r>
              <w:rPr>
                <w:sz w:val="19"/>
              </w:rPr>
              <w:t>Idling / PV Generation</w:t>
            </w:r>
          </w:p>
        </w:tc>
      </w:tr>
      <w:tr>
        <w:tc>
          <w:tcPr>
            <w:tcW w:type="dxa" w:w="1520"/>
            <w:shd w:val="clear" w:color="auto" w:fill="EBF3FB"/>
          </w:tcPr>
          <w:p>
            <w:pPr>
              <w:jc w:val="center"/>
            </w:pPr>
            <w:r>
              <w:rPr>
                <w:sz w:val="19"/>
              </w:rPr>
              <w:t>8</w:t>
            </w:r>
          </w:p>
        </w:tc>
        <w:tc>
          <w:tcPr>
            <w:tcW w:type="dxa" w:w="1520"/>
            <w:shd w:val="clear" w:color="auto" w:fill="EBF3FB"/>
          </w:tcPr>
          <w:p>
            <w:pPr>
              <w:jc w:val="center"/>
            </w:pPr>
            <w:r>
              <w:rPr>
                <w:sz w:val="19"/>
              </w:rPr>
              <w:t>2352.20</w:t>
            </w:r>
          </w:p>
        </w:tc>
        <w:tc>
          <w:tcPr>
            <w:tcW w:type="dxa" w:w="1520"/>
            <w:shd w:val="clear" w:color="auto" w:fill="EBF3FB"/>
          </w:tcPr>
          <w:p>
            <w:pPr>
              <w:jc w:val="center"/>
            </w:pPr>
            <w:r>
              <w:rPr>
                <w:sz w:val="19"/>
              </w:rPr>
              <w:t>2352.21</w:t>
            </w:r>
          </w:p>
        </w:tc>
        <w:tc>
          <w:tcPr>
            <w:tcW w:type="dxa" w:w="1520"/>
            <w:shd w:val="clear" w:color="auto" w:fill="EBF3FB"/>
          </w:tcPr>
          <w:p>
            <w:pPr>
              <w:jc w:val="center"/>
            </w:pPr>
            <w:r>
              <w:rPr>
                <w:b/>
                <w:color w:val="375A23"/>
                <w:sz w:val="19"/>
              </w:rPr>
              <w:t>+0.01</w:t>
            </w:r>
          </w:p>
        </w:tc>
        <w:tc>
          <w:tcPr>
            <w:tcW w:type="dxa" w:w="1520"/>
            <w:shd w:val="clear" w:color="auto" w:fill="EBF3FB"/>
          </w:tcPr>
          <w:p>
            <w:pPr>
              <w:jc w:val="center"/>
            </w:pPr>
            <w:r>
              <w:rPr>
                <w:sz w:val="19"/>
              </w:rPr>
              <w:t>+0.00%</w:t>
            </w:r>
          </w:p>
        </w:tc>
        <w:tc>
          <w:tcPr>
            <w:tcW w:type="dxa" w:w="1520"/>
            <w:shd w:val="clear" w:color="auto" w:fill="EBF3FB"/>
          </w:tcPr>
          <w:p>
            <w:pPr>
              <w:jc w:val="center"/>
            </w:pPr>
            <w:r>
              <w:rPr>
                <w:sz w:val="19"/>
              </w:rPr>
              <w:t>Idling / PV Generation</w:t>
            </w:r>
          </w:p>
        </w:tc>
      </w:tr>
      <w:tr>
        <w:tc>
          <w:tcPr>
            <w:tcW w:type="dxa" w:w="1520"/>
            <w:shd w:val="clear" w:color="auto" w:fill="FFFFFF"/>
          </w:tcPr>
          <w:p>
            <w:pPr>
              <w:jc w:val="center"/>
            </w:pPr>
            <w:r>
              <w:rPr>
                <w:sz w:val="19"/>
              </w:rPr>
              <w:t>9</w:t>
            </w:r>
          </w:p>
        </w:tc>
        <w:tc>
          <w:tcPr>
            <w:tcW w:type="dxa" w:w="1520"/>
            <w:shd w:val="clear" w:color="auto" w:fill="FFFFFF"/>
          </w:tcPr>
          <w:p>
            <w:pPr>
              <w:jc w:val="center"/>
            </w:pPr>
            <w:r>
              <w:rPr>
                <w:sz w:val="19"/>
              </w:rPr>
              <w:t>2336.59</w:t>
            </w:r>
          </w:p>
        </w:tc>
        <w:tc>
          <w:tcPr>
            <w:tcW w:type="dxa" w:w="1520"/>
            <w:shd w:val="clear" w:color="auto" w:fill="FFFFFF"/>
          </w:tcPr>
          <w:p>
            <w:pPr>
              <w:jc w:val="center"/>
            </w:pPr>
            <w:r>
              <w:rPr>
                <w:sz w:val="19"/>
              </w:rPr>
              <w:t>2353.22</w:t>
            </w:r>
          </w:p>
        </w:tc>
        <w:tc>
          <w:tcPr>
            <w:tcW w:type="dxa" w:w="1520"/>
            <w:shd w:val="clear" w:color="auto" w:fill="FFFFFF"/>
          </w:tcPr>
          <w:p>
            <w:pPr>
              <w:jc w:val="center"/>
            </w:pPr>
            <w:r>
              <w:rPr>
                <w:b/>
                <w:color w:val="375A23"/>
                <w:sz w:val="19"/>
              </w:rPr>
              <w:t>+16.63</w:t>
            </w:r>
          </w:p>
        </w:tc>
        <w:tc>
          <w:tcPr>
            <w:tcW w:type="dxa" w:w="1520"/>
            <w:shd w:val="clear" w:color="auto" w:fill="FFFFFF"/>
          </w:tcPr>
          <w:p>
            <w:pPr>
              <w:jc w:val="center"/>
            </w:pPr>
            <w:r>
              <w:rPr>
                <w:sz w:val="19"/>
              </w:rPr>
              <w:t>+0.71%</w:t>
            </w:r>
          </w:p>
        </w:tc>
        <w:tc>
          <w:tcPr>
            <w:tcW w:type="dxa" w:w="1520"/>
            <w:shd w:val="clear" w:color="auto" w:fill="FFFFFF"/>
          </w:tcPr>
          <w:p>
            <w:pPr>
              <w:jc w:val="center"/>
            </w:pPr>
            <w:r>
              <w:rPr>
                <w:sz w:val="19"/>
              </w:rPr>
              <w:t>PV Generation</w:t>
            </w:r>
          </w:p>
        </w:tc>
      </w:tr>
      <w:tr>
        <w:tc>
          <w:tcPr>
            <w:tcW w:type="dxa" w:w="1520"/>
            <w:shd w:val="clear" w:color="auto" w:fill="EBF3FB"/>
          </w:tcPr>
          <w:p>
            <w:pPr>
              <w:jc w:val="center"/>
            </w:pPr>
            <w:r>
              <w:rPr>
                <w:sz w:val="19"/>
              </w:rPr>
              <w:t>10</w:t>
            </w:r>
          </w:p>
        </w:tc>
        <w:tc>
          <w:tcPr>
            <w:tcW w:type="dxa" w:w="1520"/>
            <w:shd w:val="clear" w:color="auto" w:fill="EBF3FB"/>
          </w:tcPr>
          <w:p>
            <w:pPr>
              <w:jc w:val="center"/>
            </w:pPr>
            <w:r>
              <w:rPr>
                <w:sz w:val="19"/>
              </w:rPr>
              <w:t>2336.68</w:t>
            </w:r>
          </w:p>
        </w:tc>
        <w:tc>
          <w:tcPr>
            <w:tcW w:type="dxa" w:w="1520"/>
            <w:shd w:val="clear" w:color="auto" w:fill="EBF3FB"/>
          </w:tcPr>
          <w:p>
            <w:pPr>
              <w:jc w:val="center"/>
            </w:pPr>
            <w:r>
              <w:rPr>
                <w:sz w:val="19"/>
              </w:rPr>
              <w:t>2348.67</w:t>
            </w:r>
          </w:p>
        </w:tc>
        <w:tc>
          <w:tcPr>
            <w:tcW w:type="dxa" w:w="1520"/>
            <w:shd w:val="clear" w:color="auto" w:fill="EBF3FB"/>
          </w:tcPr>
          <w:p>
            <w:pPr>
              <w:jc w:val="center"/>
            </w:pPr>
            <w:r>
              <w:rPr>
                <w:b/>
                <w:color w:val="375A23"/>
                <w:sz w:val="19"/>
              </w:rPr>
              <w:t>+11.99</w:t>
            </w:r>
          </w:p>
        </w:tc>
        <w:tc>
          <w:tcPr>
            <w:tcW w:type="dxa" w:w="1520"/>
            <w:shd w:val="clear" w:color="auto" w:fill="EBF3FB"/>
          </w:tcPr>
          <w:p>
            <w:pPr>
              <w:jc w:val="center"/>
            </w:pPr>
            <w:r>
              <w:rPr>
                <w:sz w:val="19"/>
              </w:rPr>
              <w:t>+0.51%</w:t>
            </w:r>
          </w:p>
        </w:tc>
        <w:tc>
          <w:tcPr>
            <w:tcW w:type="dxa" w:w="1520"/>
            <w:shd w:val="clear" w:color="auto" w:fill="EBF3FB"/>
          </w:tcPr>
          <w:p>
            <w:pPr>
              <w:jc w:val="center"/>
            </w:pPr>
            <w:r>
              <w:rPr>
                <w:sz w:val="19"/>
              </w:rPr>
              <w:t>PV Generation</w:t>
            </w:r>
          </w:p>
        </w:tc>
      </w:tr>
      <w:tr>
        <w:tc>
          <w:tcPr>
            <w:tcW w:type="dxa" w:w="1520"/>
            <w:shd w:val="clear" w:color="auto" w:fill="E2EFDA"/>
          </w:tcPr>
          <w:p>
            <w:pPr>
              <w:jc w:val="center"/>
            </w:pPr>
            <w:r>
              <w:rPr>
                <w:sz w:val="19"/>
              </w:rPr>
              <w:t>11</w:t>
            </w:r>
          </w:p>
        </w:tc>
        <w:tc>
          <w:tcPr>
            <w:tcW w:type="dxa" w:w="1520"/>
            <w:shd w:val="clear" w:color="auto" w:fill="E2EFDA"/>
          </w:tcPr>
          <w:p>
            <w:pPr>
              <w:jc w:val="center"/>
            </w:pPr>
            <w:r>
              <w:rPr>
                <w:sz w:val="19"/>
              </w:rPr>
              <w:t>2318.92</w:t>
            </w:r>
          </w:p>
        </w:tc>
        <w:tc>
          <w:tcPr>
            <w:tcW w:type="dxa" w:w="1520"/>
            <w:shd w:val="clear" w:color="auto" w:fill="E2EFDA"/>
          </w:tcPr>
          <w:p>
            <w:pPr>
              <w:jc w:val="center"/>
            </w:pPr>
            <w:r>
              <w:rPr>
                <w:sz w:val="19"/>
              </w:rPr>
              <w:t>2338.36</w:t>
            </w:r>
          </w:p>
        </w:tc>
        <w:tc>
          <w:tcPr>
            <w:tcW w:type="dxa" w:w="1520"/>
            <w:shd w:val="clear" w:color="auto" w:fill="E2EFDA"/>
          </w:tcPr>
          <w:p>
            <w:pPr>
              <w:jc w:val="center"/>
            </w:pPr>
            <w:r>
              <w:rPr>
                <w:b/>
                <w:color w:val="375A23"/>
                <w:sz w:val="19"/>
              </w:rPr>
              <w:t>+19.44</w:t>
            </w:r>
          </w:p>
        </w:tc>
        <w:tc>
          <w:tcPr>
            <w:tcW w:type="dxa" w:w="1520"/>
            <w:shd w:val="clear" w:color="auto" w:fill="E2EFDA"/>
          </w:tcPr>
          <w:p>
            <w:pPr>
              <w:jc w:val="center"/>
            </w:pPr>
            <w:r>
              <w:rPr>
                <w:sz w:val="19"/>
              </w:rPr>
              <w:t>+0.84%</w:t>
            </w:r>
          </w:p>
        </w:tc>
        <w:tc>
          <w:tcPr>
            <w:tcW w:type="dxa" w:w="1520"/>
            <w:shd w:val="clear" w:color="auto" w:fill="E2EFDA"/>
          </w:tcPr>
          <w:p>
            <w:pPr>
              <w:jc w:val="center"/>
            </w:pPr>
            <w:r>
              <w:rPr>
                <w:sz w:val="19"/>
              </w:rPr>
              <w:t>Solar Peak / PV Support</w:t>
            </w:r>
          </w:p>
        </w:tc>
      </w:tr>
      <w:tr>
        <w:tc>
          <w:tcPr>
            <w:tcW w:type="dxa" w:w="1520"/>
            <w:shd w:val="clear" w:color="auto" w:fill="E2EFDA"/>
          </w:tcPr>
          <w:p>
            <w:pPr>
              <w:jc w:val="center"/>
            </w:pPr>
            <w:r>
              <w:rPr>
                <w:sz w:val="19"/>
              </w:rPr>
              <w:t>12</w:t>
            </w:r>
          </w:p>
        </w:tc>
        <w:tc>
          <w:tcPr>
            <w:tcW w:type="dxa" w:w="1520"/>
            <w:shd w:val="clear" w:color="auto" w:fill="E2EFDA"/>
          </w:tcPr>
          <w:p>
            <w:pPr>
              <w:jc w:val="center"/>
            </w:pPr>
            <w:r>
              <w:rPr>
                <w:sz w:val="19"/>
              </w:rPr>
              <w:t>2317.46</w:t>
            </w:r>
          </w:p>
        </w:tc>
        <w:tc>
          <w:tcPr>
            <w:tcW w:type="dxa" w:w="1520"/>
            <w:shd w:val="clear" w:color="auto" w:fill="E2EFDA"/>
          </w:tcPr>
          <w:p>
            <w:pPr>
              <w:jc w:val="center"/>
            </w:pPr>
            <w:r>
              <w:rPr>
                <w:sz w:val="19"/>
              </w:rPr>
              <w:t>2341.33</w:t>
            </w:r>
          </w:p>
        </w:tc>
        <w:tc>
          <w:tcPr>
            <w:tcW w:type="dxa" w:w="1520"/>
            <w:shd w:val="clear" w:color="auto" w:fill="E2EFDA"/>
          </w:tcPr>
          <w:p>
            <w:pPr>
              <w:jc w:val="center"/>
            </w:pPr>
            <w:r>
              <w:rPr>
                <w:b/>
                <w:color w:val="375A23"/>
                <w:sz w:val="19"/>
              </w:rPr>
              <w:t>+23.87</w:t>
            </w:r>
          </w:p>
        </w:tc>
        <w:tc>
          <w:tcPr>
            <w:tcW w:type="dxa" w:w="1520"/>
            <w:shd w:val="clear" w:color="auto" w:fill="E2EFDA"/>
          </w:tcPr>
          <w:p>
            <w:pPr>
              <w:jc w:val="center"/>
            </w:pPr>
            <w:r>
              <w:rPr>
                <w:sz w:val="19"/>
              </w:rPr>
              <w:t>+1.03%</w:t>
            </w:r>
          </w:p>
        </w:tc>
        <w:tc>
          <w:tcPr>
            <w:tcW w:type="dxa" w:w="1520"/>
            <w:shd w:val="clear" w:color="auto" w:fill="E2EFDA"/>
          </w:tcPr>
          <w:p>
            <w:pPr>
              <w:jc w:val="center"/>
            </w:pPr>
            <w:r>
              <w:rPr>
                <w:sz w:val="19"/>
              </w:rPr>
              <w:t>Solar Peak / PV Support</w:t>
            </w:r>
          </w:p>
        </w:tc>
      </w:tr>
      <w:tr>
        <w:tc>
          <w:tcPr>
            <w:tcW w:type="dxa" w:w="1520"/>
            <w:shd w:val="clear" w:color="auto" w:fill="E2EFDA"/>
          </w:tcPr>
          <w:p>
            <w:pPr>
              <w:jc w:val="center"/>
            </w:pPr>
            <w:r>
              <w:rPr>
                <w:sz w:val="19"/>
              </w:rPr>
              <w:t>13</w:t>
            </w:r>
          </w:p>
        </w:tc>
        <w:tc>
          <w:tcPr>
            <w:tcW w:type="dxa" w:w="1520"/>
            <w:shd w:val="clear" w:color="auto" w:fill="E2EFDA"/>
          </w:tcPr>
          <w:p>
            <w:pPr>
              <w:jc w:val="center"/>
            </w:pPr>
            <w:r>
              <w:rPr>
                <w:sz w:val="19"/>
              </w:rPr>
              <w:t>2299.35</w:t>
            </w:r>
          </w:p>
        </w:tc>
        <w:tc>
          <w:tcPr>
            <w:tcW w:type="dxa" w:w="1520"/>
            <w:shd w:val="clear" w:color="auto" w:fill="E2EFDA"/>
          </w:tcPr>
          <w:p>
            <w:pPr>
              <w:jc w:val="center"/>
            </w:pPr>
            <w:r>
              <w:rPr>
                <w:sz w:val="19"/>
              </w:rPr>
              <w:t>2337.77</w:t>
            </w:r>
          </w:p>
        </w:tc>
        <w:tc>
          <w:tcPr>
            <w:tcW w:type="dxa" w:w="1520"/>
            <w:shd w:val="clear" w:color="auto" w:fill="E2EFDA"/>
          </w:tcPr>
          <w:p>
            <w:pPr>
              <w:jc w:val="center"/>
            </w:pPr>
            <w:r>
              <w:rPr>
                <w:b/>
                <w:color w:val="375A23"/>
                <w:sz w:val="19"/>
              </w:rPr>
              <w:t>+38.42</w:t>
            </w:r>
          </w:p>
        </w:tc>
        <w:tc>
          <w:tcPr>
            <w:tcW w:type="dxa" w:w="1520"/>
            <w:shd w:val="clear" w:color="auto" w:fill="E2EFDA"/>
          </w:tcPr>
          <w:p>
            <w:pPr>
              <w:jc w:val="center"/>
            </w:pPr>
            <w:r>
              <w:rPr>
                <w:sz w:val="19"/>
              </w:rPr>
              <w:t>+1.67%</w:t>
            </w:r>
          </w:p>
        </w:tc>
        <w:tc>
          <w:tcPr>
            <w:tcW w:type="dxa" w:w="1520"/>
            <w:shd w:val="clear" w:color="auto" w:fill="E2EFDA"/>
          </w:tcPr>
          <w:p>
            <w:pPr>
              <w:jc w:val="center"/>
            </w:pPr>
            <w:r>
              <w:rPr>
                <w:sz w:val="19"/>
              </w:rPr>
              <w:t>Solar Peak / PV Support</w:t>
            </w:r>
          </w:p>
        </w:tc>
      </w:tr>
      <w:tr>
        <w:tc>
          <w:tcPr>
            <w:tcW w:type="dxa" w:w="1520"/>
            <w:shd w:val="clear" w:color="auto" w:fill="E2EFDA"/>
          </w:tcPr>
          <w:p>
            <w:pPr>
              <w:jc w:val="center"/>
            </w:pPr>
            <w:r>
              <w:rPr>
                <w:sz w:val="19"/>
              </w:rPr>
              <w:t>14</w:t>
            </w:r>
          </w:p>
        </w:tc>
        <w:tc>
          <w:tcPr>
            <w:tcW w:type="dxa" w:w="1520"/>
            <w:shd w:val="clear" w:color="auto" w:fill="E2EFDA"/>
          </w:tcPr>
          <w:p>
            <w:pPr>
              <w:jc w:val="center"/>
            </w:pPr>
            <w:r>
              <w:rPr>
                <w:sz w:val="19"/>
              </w:rPr>
              <w:t>2280.19</w:t>
            </w:r>
          </w:p>
        </w:tc>
        <w:tc>
          <w:tcPr>
            <w:tcW w:type="dxa" w:w="1520"/>
            <w:shd w:val="clear" w:color="auto" w:fill="E2EFDA"/>
          </w:tcPr>
          <w:p>
            <w:pPr>
              <w:jc w:val="center"/>
            </w:pPr>
            <w:r>
              <w:rPr>
                <w:sz w:val="19"/>
              </w:rPr>
              <w:t>2316.28</w:t>
            </w:r>
          </w:p>
        </w:tc>
        <w:tc>
          <w:tcPr>
            <w:tcW w:type="dxa" w:w="1520"/>
            <w:shd w:val="clear" w:color="auto" w:fill="E2EFDA"/>
          </w:tcPr>
          <w:p>
            <w:pPr>
              <w:jc w:val="center"/>
            </w:pPr>
            <w:r>
              <w:rPr>
                <w:b/>
                <w:color w:val="375A23"/>
                <w:sz w:val="19"/>
              </w:rPr>
              <w:t>+36.09</w:t>
            </w:r>
          </w:p>
        </w:tc>
        <w:tc>
          <w:tcPr>
            <w:tcW w:type="dxa" w:w="1520"/>
            <w:shd w:val="clear" w:color="auto" w:fill="E2EFDA"/>
          </w:tcPr>
          <w:p>
            <w:pPr>
              <w:jc w:val="center"/>
            </w:pPr>
            <w:r>
              <w:rPr>
                <w:sz w:val="19"/>
              </w:rPr>
              <w:t>+1.58%</w:t>
            </w:r>
          </w:p>
        </w:tc>
        <w:tc>
          <w:tcPr>
            <w:tcW w:type="dxa" w:w="1520"/>
            <w:shd w:val="clear" w:color="auto" w:fill="E2EFDA"/>
          </w:tcPr>
          <w:p>
            <w:pPr>
              <w:jc w:val="center"/>
            </w:pPr>
            <w:r>
              <w:rPr>
                <w:sz w:val="19"/>
              </w:rPr>
              <w:t>Solar Peak / PV Support</w:t>
            </w:r>
          </w:p>
        </w:tc>
      </w:tr>
      <w:tr>
        <w:tc>
          <w:tcPr>
            <w:tcW w:type="dxa" w:w="1520"/>
            <w:shd w:val="clear" w:color="auto" w:fill="FFFFFF"/>
          </w:tcPr>
          <w:p>
            <w:pPr>
              <w:jc w:val="center"/>
            </w:pPr>
            <w:r>
              <w:rPr>
                <w:sz w:val="19"/>
              </w:rPr>
              <w:t>15</w:t>
            </w:r>
          </w:p>
        </w:tc>
        <w:tc>
          <w:tcPr>
            <w:tcW w:type="dxa" w:w="1520"/>
            <w:shd w:val="clear" w:color="auto" w:fill="FFFFFF"/>
          </w:tcPr>
          <w:p>
            <w:pPr>
              <w:jc w:val="center"/>
            </w:pPr>
            <w:r>
              <w:rPr>
                <w:sz w:val="19"/>
              </w:rPr>
              <w:t>2299.65</w:t>
            </w:r>
          </w:p>
        </w:tc>
        <w:tc>
          <w:tcPr>
            <w:tcW w:type="dxa" w:w="1520"/>
            <w:shd w:val="clear" w:color="auto" w:fill="FFFFFF"/>
          </w:tcPr>
          <w:p>
            <w:pPr>
              <w:jc w:val="center"/>
            </w:pPr>
            <w:r>
              <w:rPr>
                <w:sz w:val="19"/>
              </w:rPr>
              <w:t>2328.81</w:t>
            </w:r>
          </w:p>
        </w:tc>
        <w:tc>
          <w:tcPr>
            <w:tcW w:type="dxa" w:w="1520"/>
            <w:shd w:val="clear" w:color="auto" w:fill="FFFFFF"/>
          </w:tcPr>
          <w:p>
            <w:pPr>
              <w:jc w:val="center"/>
            </w:pPr>
            <w:r>
              <w:rPr>
                <w:b/>
                <w:color w:val="375A23"/>
                <w:sz w:val="19"/>
              </w:rPr>
              <w:t>+29.16</w:t>
            </w:r>
          </w:p>
        </w:tc>
        <w:tc>
          <w:tcPr>
            <w:tcW w:type="dxa" w:w="1520"/>
            <w:shd w:val="clear" w:color="auto" w:fill="FFFFFF"/>
          </w:tcPr>
          <w:p>
            <w:pPr>
              <w:jc w:val="center"/>
            </w:pPr>
            <w:r>
              <w:rPr>
                <w:sz w:val="19"/>
              </w:rPr>
              <w:t>+1.27%</w:t>
            </w:r>
          </w:p>
        </w:tc>
        <w:tc>
          <w:tcPr>
            <w:tcW w:type="dxa" w:w="1520"/>
            <w:shd w:val="clear" w:color="auto" w:fill="FFFFFF"/>
          </w:tcPr>
          <w:p>
            <w:pPr>
              <w:jc w:val="center"/>
            </w:pPr>
            <w:r>
              <w:rPr>
                <w:sz w:val="19"/>
              </w:rPr>
              <w:t>Solar Taper / PV Support</w:t>
            </w:r>
          </w:p>
        </w:tc>
      </w:tr>
      <w:tr>
        <w:tc>
          <w:tcPr>
            <w:tcW w:type="dxa" w:w="1520"/>
            <w:shd w:val="clear" w:color="auto" w:fill="EBF3FB"/>
          </w:tcPr>
          <w:p>
            <w:pPr>
              <w:jc w:val="center"/>
            </w:pPr>
            <w:r>
              <w:rPr>
                <w:sz w:val="19"/>
              </w:rPr>
              <w:t>16</w:t>
            </w:r>
          </w:p>
        </w:tc>
        <w:tc>
          <w:tcPr>
            <w:tcW w:type="dxa" w:w="1520"/>
            <w:shd w:val="clear" w:color="auto" w:fill="EBF3FB"/>
          </w:tcPr>
          <w:p>
            <w:pPr>
              <w:jc w:val="center"/>
            </w:pPr>
            <w:r>
              <w:rPr>
                <w:sz w:val="19"/>
              </w:rPr>
              <w:t>2318.65</w:t>
            </w:r>
          </w:p>
        </w:tc>
        <w:tc>
          <w:tcPr>
            <w:tcW w:type="dxa" w:w="1520"/>
            <w:shd w:val="clear" w:color="auto" w:fill="EBF3FB"/>
          </w:tcPr>
          <w:p>
            <w:pPr>
              <w:jc w:val="center"/>
            </w:pPr>
            <w:r>
              <w:rPr>
                <w:sz w:val="19"/>
              </w:rPr>
              <w:t>2334.52</w:t>
            </w:r>
          </w:p>
        </w:tc>
        <w:tc>
          <w:tcPr>
            <w:tcW w:type="dxa" w:w="1520"/>
            <w:shd w:val="clear" w:color="auto" w:fill="EBF3FB"/>
          </w:tcPr>
          <w:p>
            <w:pPr>
              <w:jc w:val="center"/>
            </w:pPr>
            <w:r>
              <w:rPr>
                <w:b/>
                <w:color w:val="375A23"/>
                <w:sz w:val="19"/>
              </w:rPr>
              <w:t>+15.87</w:t>
            </w:r>
          </w:p>
        </w:tc>
        <w:tc>
          <w:tcPr>
            <w:tcW w:type="dxa" w:w="1520"/>
            <w:shd w:val="clear" w:color="auto" w:fill="EBF3FB"/>
          </w:tcPr>
          <w:p>
            <w:pPr>
              <w:jc w:val="center"/>
            </w:pPr>
            <w:r>
              <w:rPr>
                <w:sz w:val="19"/>
              </w:rPr>
              <w:t>+0.68%</w:t>
            </w:r>
          </w:p>
        </w:tc>
        <w:tc>
          <w:tcPr>
            <w:tcW w:type="dxa" w:w="1520"/>
            <w:shd w:val="clear" w:color="auto" w:fill="EBF3FB"/>
          </w:tcPr>
          <w:p>
            <w:pPr>
              <w:jc w:val="center"/>
            </w:pPr>
            <w:r>
              <w:rPr>
                <w:sz w:val="19"/>
              </w:rPr>
              <w:t>Solar Taper</w:t>
            </w:r>
          </w:p>
        </w:tc>
      </w:tr>
      <w:tr>
        <w:tc>
          <w:tcPr>
            <w:tcW w:type="dxa" w:w="1520"/>
            <w:shd w:val="clear" w:color="auto" w:fill="FFFFFF"/>
          </w:tcPr>
          <w:p>
            <w:pPr>
              <w:jc w:val="center"/>
            </w:pPr>
            <w:r>
              <w:rPr>
                <w:sz w:val="19"/>
              </w:rPr>
              <w:t>17</w:t>
            </w:r>
          </w:p>
        </w:tc>
        <w:tc>
          <w:tcPr>
            <w:tcW w:type="dxa" w:w="1520"/>
            <w:shd w:val="clear" w:color="auto" w:fill="FFFFFF"/>
          </w:tcPr>
          <w:p>
            <w:pPr>
              <w:jc w:val="center"/>
            </w:pPr>
            <w:r>
              <w:rPr>
                <w:sz w:val="19"/>
              </w:rPr>
              <w:t>2336.04</w:t>
            </w:r>
          </w:p>
        </w:tc>
        <w:tc>
          <w:tcPr>
            <w:tcW w:type="dxa" w:w="1520"/>
            <w:shd w:val="clear" w:color="auto" w:fill="FFFFFF"/>
          </w:tcPr>
          <w:p>
            <w:pPr>
              <w:jc w:val="center"/>
            </w:pPr>
            <w:r>
              <w:rPr>
                <w:sz w:val="19"/>
              </w:rPr>
              <w:t>2357.52</w:t>
            </w:r>
          </w:p>
        </w:tc>
        <w:tc>
          <w:tcPr>
            <w:tcW w:type="dxa" w:w="1520"/>
            <w:shd w:val="clear" w:color="auto" w:fill="FFFFFF"/>
          </w:tcPr>
          <w:p>
            <w:pPr>
              <w:jc w:val="center"/>
            </w:pPr>
            <w:r>
              <w:rPr>
                <w:b/>
                <w:color w:val="375A23"/>
                <w:sz w:val="19"/>
              </w:rPr>
              <w:t>+21.48</w:t>
            </w:r>
          </w:p>
        </w:tc>
        <w:tc>
          <w:tcPr>
            <w:tcW w:type="dxa" w:w="1520"/>
            <w:shd w:val="clear" w:color="auto" w:fill="FFFFFF"/>
          </w:tcPr>
          <w:p>
            <w:pPr>
              <w:jc w:val="center"/>
            </w:pPr>
            <w:r>
              <w:rPr>
                <w:sz w:val="19"/>
              </w:rPr>
              <w:t>+0.92%</w:t>
            </w:r>
          </w:p>
        </w:tc>
        <w:tc>
          <w:tcPr>
            <w:tcW w:type="dxa" w:w="1520"/>
            <w:shd w:val="clear" w:color="auto" w:fill="FFFFFF"/>
          </w:tcPr>
          <w:p>
            <w:pPr>
              <w:jc w:val="center"/>
            </w:pPr>
            <w:r>
              <w:rPr>
                <w:sz w:val="19"/>
              </w:rPr>
              <w:t>Discharge Start</w:t>
            </w:r>
          </w:p>
        </w:tc>
      </w:tr>
      <w:tr>
        <w:tc>
          <w:tcPr>
            <w:tcW w:type="dxa" w:w="1520"/>
            <w:shd w:val="clear" w:color="auto" w:fill="EBF3FB"/>
          </w:tcPr>
          <w:p>
            <w:pPr>
              <w:jc w:val="center"/>
            </w:pPr>
            <w:r>
              <w:rPr>
                <w:sz w:val="19"/>
              </w:rPr>
              <w:t>18</w:t>
            </w:r>
          </w:p>
        </w:tc>
        <w:tc>
          <w:tcPr>
            <w:tcW w:type="dxa" w:w="1520"/>
            <w:shd w:val="clear" w:color="auto" w:fill="EBF3FB"/>
          </w:tcPr>
          <w:p>
            <w:pPr>
              <w:jc w:val="center"/>
            </w:pPr>
            <w:r>
              <w:rPr>
                <w:sz w:val="19"/>
              </w:rPr>
              <w:t>2299.73</w:t>
            </w:r>
          </w:p>
        </w:tc>
        <w:tc>
          <w:tcPr>
            <w:tcW w:type="dxa" w:w="1520"/>
            <w:shd w:val="clear" w:color="auto" w:fill="EBF3FB"/>
          </w:tcPr>
          <w:p>
            <w:pPr>
              <w:jc w:val="center"/>
            </w:pPr>
            <w:r>
              <w:rPr>
                <w:sz w:val="19"/>
              </w:rPr>
              <w:t>2328.92</w:t>
            </w:r>
          </w:p>
        </w:tc>
        <w:tc>
          <w:tcPr>
            <w:tcW w:type="dxa" w:w="1520"/>
            <w:shd w:val="clear" w:color="auto" w:fill="EBF3FB"/>
          </w:tcPr>
          <w:p>
            <w:pPr>
              <w:jc w:val="center"/>
            </w:pPr>
            <w:r>
              <w:rPr>
                <w:b/>
                <w:color w:val="375A23"/>
                <w:sz w:val="19"/>
              </w:rPr>
              <w:t>+29.19</w:t>
            </w:r>
          </w:p>
        </w:tc>
        <w:tc>
          <w:tcPr>
            <w:tcW w:type="dxa" w:w="1520"/>
            <w:shd w:val="clear" w:color="auto" w:fill="EBF3FB"/>
          </w:tcPr>
          <w:p>
            <w:pPr>
              <w:jc w:val="center"/>
            </w:pPr>
            <w:r>
              <w:rPr>
                <w:sz w:val="19"/>
              </w:rPr>
              <w:t>+1.27%</w:t>
            </w:r>
          </w:p>
        </w:tc>
        <w:tc>
          <w:tcPr>
            <w:tcW w:type="dxa" w:w="1520"/>
            <w:shd w:val="clear" w:color="auto" w:fill="EBF3FB"/>
          </w:tcPr>
          <w:p>
            <w:pPr>
              <w:jc w:val="center"/>
            </w:pPr>
            <w:r>
              <w:rPr>
                <w:sz w:val="19"/>
              </w:rPr>
              <w:t>Peak Evening Discharge</w:t>
            </w:r>
          </w:p>
        </w:tc>
      </w:tr>
      <w:tr>
        <w:tc>
          <w:tcPr>
            <w:tcW w:type="dxa" w:w="1520"/>
            <w:shd w:val="clear" w:color="auto" w:fill="FFE0E0"/>
          </w:tcPr>
          <w:p>
            <w:pPr>
              <w:jc w:val="center"/>
            </w:pPr>
            <w:r>
              <w:rPr>
                <w:sz w:val="19"/>
              </w:rPr>
              <w:t>19</w:t>
            </w:r>
          </w:p>
        </w:tc>
        <w:tc>
          <w:tcPr>
            <w:tcW w:type="dxa" w:w="1520"/>
            <w:shd w:val="clear" w:color="auto" w:fill="FFE0E0"/>
          </w:tcPr>
          <w:p>
            <w:pPr>
              <w:jc w:val="center"/>
            </w:pPr>
            <w:r>
              <w:rPr>
                <w:sz w:val="19"/>
              </w:rPr>
              <w:t>2250.18</w:t>
            </w:r>
          </w:p>
        </w:tc>
        <w:tc>
          <w:tcPr>
            <w:tcW w:type="dxa" w:w="1520"/>
            <w:shd w:val="clear" w:color="auto" w:fill="FFE0E0"/>
          </w:tcPr>
          <w:p>
            <w:pPr>
              <w:jc w:val="center"/>
            </w:pPr>
            <w:r>
              <w:rPr>
                <w:sz w:val="19"/>
              </w:rPr>
              <w:t>2303.02</w:t>
            </w:r>
          </w:p>
        </w:tc>
        <w:tc>
          <w:tcPr>
            <w:tcW w:type="dxa" w:w="1520"/>
            <w:shd w:val="clear" w:color="auto" w:fill="FFE0E0"/>
          </w:tcPr>
          <w:p>
            <w:pPr>
              <w:jc w:val="center"/>
            </w:pPr>
            <w:r>
              <w:rPr>
                <w:b/>
                <w:color w:val="C00000"/>
                <w:sz w:val="19"/>
              </w:rPr>
              <w:t>+52.84</w:t>
            </w:r>
          </w:p>
        </w:tc>
        <w:tc>
          <w:tcPr>
            <w:tcW w:type="dxa" w:w="1520"/>
            <w:shd w:val="clear" w:color="auto" w:fill="FFE0E0"/>
          </w:tcPr>
          <w:p>
            <w:pPr>
              <w:jc w:val="center"/>
            </w:pPr>
            <w:r>
              <w:rPr>
                <w:b/>
                <w:color w:val="C00000"/>
                <w:sz w:val="19"/>
              </w:rPr>
              <w:t>+2.35%</w:t>
            </w:r>
          </w:p>
        </w:tc>
        <w:tc>
          <w:tcPr>
            <w:tcW w:type="dxa" w:w="1520"/>
            <w:shd w:val="clear" w:color="auto" w:fill="FFE0E0"/>
          </w:tcPr>
          <w:p>
            <w:pPr>
              <w:jc w:val="center"/>
            </w:pPr>
            <w:r>
              <w:rPr>
                <w:sz w:val="19"/>
              </w:rPr>
              <w:t>Maximum Peak Discharge</w:t>
            </w:r>
          </w:p>
        </w:tc>
      </w:tr>
      <w:tr>
        <w:tc>
          <w:tcPr>
            <w:tcW w:type="dxa" w:w="1520"/>
            <w:shd w:val="clear" w:color="auto" w:fill="EBF3FB"/>
          </w:tcPr>
          <w:p>
            <w:pPr>
              <w:jc w:val="center"/>
            </w:pPr>
            <w:r>
              <w:rPr>
                <w:sz w:val="19"/>
              </w:rPr>
              <w:t>20</w:t>
            </w:r>
          </w:p>
        </w:tc>
        <w:tc>
          <w:tcPr>
            <w:tcW w:type="dxa" w:w="1520"/>
            <w:shd w:val="clear" w:color="auto" w:fill="EBF3FB"/>
          </w:tcPr>
          <w:p>
            <w:pPr>
              <w:jc w:val="center"/>
            </w:pPr>
            <w:r>
              <w:rPr>
                <w:sz w:val="19"/>
              </w:rPr>
              <w:t>2209.50</w:t>
            </w:r>
          </w:p>
        </w:tc>
        <w:tc>
          <w:tcPr>
            <w:tcW w:type="dxa" w:w="1520"/>
            <w:shd w:val="clear" w:color="auto" w:fill="EBF3FB"/>
          </w:tcPr>
          <w:p>
            <w:pPr>
              <w:jc w:val="center"/>
            </w:pPr>
            <w:r>
              <w:rPr>
                <w:sz w:val="19"/>
              </w:rPr>
              <w:t>2209.50</w:t>
            </w:r>
          </w:p>
        </w:tc>
        <w:tc>
          <w:tcPr>
            <w:tcW w:type="dxa" w:w="1520"/>
            <w:shd w:val="clear" w:color="auto" w:fill="EBF3FB"/>
          </w:tcPr>
          <w:p>
            <w:pPr>
              <w:jc w:val="center"/>
            </w:pPr>
            <w:r>
              <w:rPr>
                <w:sz w:val="19"/>
              </w:rPr>
              <w:t>0.00</w:t>
            </w:r>
          </w:p>
        </w:tc>
        <w:tc>
          <w:tcPr>
            <w:tcW w:type="dxa" w:w="1520"/>
            <w:shd w:val="clear" w:color="auto" w:fill="EBF3FB"/>
          </w:tcPr>
          <w:p>
            <w:pPr>
              <w:jc w:val="center"/>
            </w:pPr>
            <w:r>
              <w:rPr>
                <w:sz w:val="19"/>
              </w:rPr>
              <w:t>0.00%</w:t>
            </w:r>
          </w:p>
        </w:tc>
        <w:tc>
          <w:tcPr>
            <w:tcW w:type="dxa" w:w="1520"/>
            <w:shd w:val="clear" w:color="auto" w:fill="EBF3FB"/>
          </w:tcPr>
          <w:p>
            <w:pPr>
              <w:jc w:val="center"/>
            </w:pPr>
            <w:r>
              <w:rPr>
                <w:sz w:val="19"/>
              </w:rPr>
              <w:t>Idling / Standby</w:t>
            </w:r>
          </w:p>
        </w:tc>
      </w:tr>
      <w:tr>
        <w:tc>
          <w:tcPr>
            <w:tcW w:type="dxa" w:w="1520"/>
            <w:shd w:val="clear" w:color="auto" w:fill="FFFFFF"/>
          </w:tcPr>
          <w:p>
            <w:pPr>
              <w:jc w:val="center"/>
            </w:pPr>
            <w:r>
              <w:rPr>
                <w:sz w:val="19"/>
              </w:rPr>
              <w:t>21</w:t>
            </w:r>
          </w:p>
        </w:tc>
        <w:tc>
          <w:tcPr>
            <w:tcW w:type="dxa" w:w="1520"/>
            <w:shd w:val="clear" w:color="auto" w:fill="FFFFFF"/>
          </w:tcPr>
          <w:p>
            <w:pPr>
              <w:jc w:val="center"/>
            </w:pPr>
            <w:r>
              <w:rPr>
                <w:sz w:val="19"/>
              </w:rPr>
              <w:t>2236.37</w:t>
            </w:r>
          </w:p>
        </w:tc>
        <w:tc>
          <w:tcPr>
            <w:tcW w:type="dxa" w:w="1520"/>
            <w:shd w:val="clear" w:color="auto" w:fill="FFFFFF"/>
          </w:tcPr>
          <w:p>
            <w:pPr>
              <w:jc w:val="center"/>
            </w:pPr>
            <w:r>
              <w:rPr>
                <w:sz w:val="19"/>
              </w:rPr>
              <w:t>2236.37</w:t>
            </w:r>
          </w:p>
        </w:tc>
        <w:tc>
          <w:tcPr>
            <w:tcW w:type="dxa" w:w="1520"/>
            <w:shd w:val="clear" w:color="auto" w:fill="FFFFFF"/>
          </w:tcPr>
          <w:p>
            <w:pPr>
              <w:jc w:val="center"/>
            </w:pPr>
            <w:r>
              <w:rPr>
                <w:sz w:val="19"/>
              </w:rPr>
              <w:t>0.00</w:t>
            </w:r>
          </w:p>
        </w:tc>
        <w:tc>
          <w:tcPr>
            <w:tcW w:type="dxa" w:w="1520"/>
            <w:shd w:val="clear" w:color="auto" w:fill="FFFFFF"/>
          </w:tcPr>
          <w:p>
            <w:pPr>
              <w:jc w:val="center"/>
            </w:pPr>
            <w:r>
              <w:rPr>
                <w:sz w:val="19"/>
              </w:rPr>
              <w:t>0.00%</w:t>
            </w:r>
          </w:p>
        </w:tc>
        <w:tc>
          <w:tcPr>
            <w:tcW w:type="dxa" w:w="1520"/>
            <w:shd w:val="clear" w:color="auto" w:fill="FFFFFF"/>
          </w:tcPr>
          <w:p>
            <w:pPr>
              <w:jc w:val="center"/>
            </w:pPr>
            <w:r>
              <w:rPr>
                <w:sz w:val="19"/>
              </w:rPr>
              <w:t>Idling / Standby</w:t>
            </w:r>
          </w:p>
        </w:tc>
      </w:tr>
      <w:tr>
        <w:tc>
          <w:tcPr>
            <w:tcW w:type="dxa" w:w="1520"/>
            <w:shd w:val="clear" w:color="auto" w:fill="EBF3FB"/>
          </w:tcPr>
          <w:p>
            <w:pPr>
              <w:jc w:val="center"/>
            </w:pPr>
            <w:r>
              <w:rPr>
                <w:sz w:val="19"/>
              </w:rPr>
              <w:t>22</w:t>
            </w:r>
          </w:p>
        </w:tc>
        <w:tc>
          <w:tcPr>
            <w:tcW w:type="dxa" w:w="1520"/>
            <w:shd w:val="clear" w:color="auto" w:fill="EBF3FB"/>
          </w:tcPr>
          <w:p>
            <w:pPr>
              <w:jc w:val="center"/>
            </w:pPr>
            <w:r>
              <w:rPr>
                <w:sz w:val="19"/>
              </w:rPr>
              <w:t>2299.97</w:t>
            </w:r>
          </w:p>
        </w:tc>
        <w:tc>
          <w:tcPr>
            <w:tcW w:type="dxa" w:w="1520"/>
            <w:shd w:val="clear" w:color="auto" w:fill="EBF3FB"/>
          </w:tcPr>
          <w:p>
            <w:pPr>
              <w:jc w:val="center"/>
            </w:pPr>
            <w:r>
              <w:rPr>
                <w:sz w:val="19"/>
              </w:rPr>
              <w:t>2299.97</w:t>
            </w:r>
          </w:p>
        </w:tc>
        <w:tc>
          <w:tcPr>
            <w:tcW w:type="dxa" w:w="1520"/>
            <w:shd w:val="clear" w:color="auto" w:fill="EBF3FB"/>
          </w:tcPr>
          <w:p>
            <w:pPr>
              <w:jc w:val="center"/>
            </w:pPr>
            <w:r>
              <w:rPr>
                <w:sz w:val="19"/>
              </w:rPr>
              <w:t>0.00</w:t>
            </w:r>
          </w:p>
        </w:tc>
        <w:tc>
          <w:tcPr>
            <w:tcW w:type="dxa" w:w="1520"/>
            <w:shd w:val="clear" w:color="auto" w:fill="EBF3FB"/>
          </w:tcPr>
          <w:p>
            <w:pPr>
              <w:jc w:val="center"/>
            </w:pPr>
            <w:r>
              <w:rPr>
                <w:sz w:val="19"/>
              </w:rPr>
              <w:t>0.00%</w:t>
            </w:r>
          </w:p>
        </w:tc>
        <w:tc>
          <w:tcPr>
            <w:tcW w:type="dxa" w:w="1520"/>
            <w:shd w:val="clear" w:color="auto" w:fill="EBF3FB"/>
          </w:tcPr>
          <w:p>
            <w:pPr>
              <w:jc w:val="center"/>
            </w:pPr>
            <w:r>
              <w:rPr>
                <w:sz w:val="19"/>
              </w:rPr>
              <w:t>Idling / Standby</w:t>
            </w:r>
          </w:p>
        </w:tc>
      </w:tr>
      <w:tr>
        <w:tc>
          <w:tcPr>
            <w:tcW w:type="dxa" w:w="1520"/>
            <w:shd w:val="clear" w:color="auto" w:fill="FFFFFF"/>
          </w:tcPr>
          <w:p>
            <w:pPr>
              <w:jc w:val="center"/>
            </w:pPr>
            <w:r>
              <w:rPr>
                <w:sz w:val="19"/>
              </w:rPr>
              <w:t>23</w:t>
            </w:r>
          </w:p>
        </w:tc>
        <w:tc>
          <w:tcPr>
            <w:tcW w:type="dxa" w:w="1520"/>
            <w:shd w:val="clear" w:color="auto" w:fill="FFFFFF"/>
          </w:tcPr>
          <w:p>
            <w:pPr>
              <w:jc w:val="center"/>
            </w:pPr>
            <w:r>
              <w:rPr>
                <w:sz w:val="19"/>
              </w:rPr>
              <w:t>2353.12</w:t>
            </w:r>
          </w:p>
        </w:tc>
        <w:tc>
          <w:tcPr>
            <w:tcW w:type="dxa" w:w="1520"/>
            <w:shd w:val="clear" w:color="auto" w:fill="FFFFFF"/>
          </w:tcPr>
          <w:p>
            <w:pPr>
              <w:jc w:val="center"/>
            </w:pPr>
            <w:r>
              <w:rPr>
                <w:sz w:val="19"/>
              </w:rPr>
              <w:t>2353.12</w:t>
            </w:r>
          </w:p>
        </w:tc>
        <w:tc>
          <w:tcPr>
            <w:tcW w:type="dxa" w:w="1520"/>
            <w:shd w:val="clear" w:color="auto" w:fill="FFFFFF"/>
          </w:tcPr>
          <w:p>
            <w:pPr>
              <w:jc w:val="center"/>
            </w:pPr>
            <w:r>
              <w:rPr>
                <w:sz w:val="19"/>
              </w:rPr>
              <w:t>0.00</w:t>
            </w:r>
          </w:p>
        </w:tc>
        <w:tc>
          <w:tcPr>
            <w:tcW w:type="dxa" w:w="1520"/>
            <w:shd w:val="clear" w:color="auto" w:fill="FFFFFF"/>
          </w:tcPr>
          <w:p>
            <w:pPr>
              <w:jc w:val="center"/>
            </w:pPr>
            <w:r>
              <w:rPr>
                <w:sz w:val="19"/>
              </w:rPr>
              <w:t>0.00%</w:t>
            </w:r>
          </w:p>
        </w:tc>
        <w:tc>
          <w:tcPr>
            <w:tcW w:type="dxa" w:w="1520"/>
            <w:shd w:val="clear" w:color="auto" w:fill="FFFFFF"/>
          </w:tcPr>
          <w:p>
            <w:pPr>
              <w:jc w:val="center"/>
            </w:pPr>
            <w:r>
              <w:rPr>
                <w:sz w:val="19"/>
              </w:rPr>
              <w:t>Idling / Standby</w:t>
            </w:r>
          </w:p>
        </w:tc>
      </w:tr>
      <w:tr>
        <w:tc>
          <w:tcPr>
            <w:tcW w:type="dxa" w:w="1520"/>
            <w:shd w:val="clear" w:color="auto" w:fill="EBF3FB"/>
          </w:tcPr>
          <w:p>
            <w:pPr>
              <w:jc w:val="center"/>
            </w:pPr>
            <w:r>
              <w:rPr>
                <w:sz w:val="19"/>
              </w:rPr>
              <w:t>24</w:t>
            </w:r>
          </w:p>
        </w:tc>
        <w:tc>
          <w:tcPr>
            <w:tcW w:type="dxa" w:w="1520"/>
            <w:shd w:val="clear" w:color="auto" w:fill="EBF3FB"/>
          </w:tcPr>
          <w:p>
            <w:pPr>
              <w:jc w:val="center"/>
            </w:pPr>
            <w:r>
              <w:rPr>
                <w:sz w:val="19"/>
              </w:rPr>
              <w:t>2384.42</w:t>
            </w:r>
          </w:p>
        </w:tc>
        <w:tc>
          <w:tcPr>
            <w:tcW w:type="dxa" w:w="1520"/>
            <w:shd w:val="clear" w:color="auto" w:fill="EBF3FB"/>
          </w:tcPr>
          <w:p>
            <w:pPr>
              <w:jc w:val="center"/>
            </w:pPr>
            <w:r>
              <w:rPr>
                <w:sz w:val="19"/>
              </w:rPr>
              <w:t>2384.42</w:t>
            </w:r>
          </w:p>
        </w:tc>
        <w:tc>
          <w:tcPr>
            <w:tcW w:type="dxa" w:w="1520"/>
            <w:shd w:val="clear" w:color="auto" w:fill="EBF3FB"/>
          </w:tcPr>
          <w:p>
            <w:pPr>
              <w:jc w:val="center"/>
            </w:pPr>
            <w:r>
              <w:rPr>
                <w:sz w:val="19"/>
              </w:rPr>
              <w:t>0.00</w:t>
            </w:r>
          </w:p>
        </w:tc>
        <w:tc>
          <w:tcPr>
            <w:tcW w:type="dxa" w:w="1520"/>
            <w:shd w:val="clear" w:color="auto" w:fill="EBF3FB"/>
          </w:tcPr>
          <w:p>
            <w:pPr>
              <w:jc w:val="center"/>
            </w:pPr>
            <w:r>
              <w:rPr>
                <w:sz w:val="19"/>
              </w:rPr>
              <w:t>0.00%</w:t>
            </w:r>
          </w:p>
        </w:tc>
        <w:tc>
          <w:tcPr>
            <w:tcW w:type="dxa" w:w="1520"/>
            <w:shd w:val="clear" w:color="auto" w:fill="EBF3FB"/>
          </w:tcPr>
          <w:p>
            <w:pPr>
              <w:jc w:val="center"/>
            </w:pPr>
            <w:r>
              <w:rPr>
                <w:sz w:val="19"/>
              </w:rPr>
              <w:t>Idling / Standby</w:t>
            </w:r>
          </w:p>
        </w:tc>
      </w:tr>
    </w:tbl>
    <w:p/>
    <w:p>
      <w:pPr>
        <w:pStyle w:val="Heading1"/>
        <w:jc w:val="left"/>
      </w:pPr>
      <w:r>
        <w:rPr>
          <w:b/>
          <w:color w:val="1F3864"/>
          <w:sz w:val="32"/>
        </w:rPr>
        <w:t>4.2  Representative Voltage Improvement Calculations</w:t>
      </w:r>
    </w:p>
    <w:p>
      <w:pPr>
        <w:spacing w:before="80" w:after="120"/>
      </w:pPr>
      <w:r>
        <w:rPr>
          <w:b w:val="0"/>
          <w:i w:val="0"/>
          <w:color w:val="000000"/>
          <w:sz w:val="22"/>
        </w:rPr>
        <w:t>The magnitude of voltage support provided by the BESS is calculated using the following governing relations:</w:t>
      </w:r>
    </w:p>
    <w:p>
      <w:pPr>
        <w:spacing w:before="80" w:after="80"/>
        <w:ind w:left="720"/>
      </w:pPr>
      <w:r>
        <w:rPr>
          <w:b/>
          <w:color w:val="1F3864"/>
          <w:sz w:val="22"/>
        </w:rPr>
        <w:t xml:space="preserve">Voltage Deviation:  </w:t>
      </w:r>
      <w:r>
        <w:rPr>
          <w:rFonts w:ascii="Cambria Math" w:hAnsi="Cambria Math"/>
          <w:b/>
          <w:color w:val="C00000"/>
          <w:sz w:val="24"/>
        </w:rPr>
        <w:t>ΔV  =  V_after  −  V_before</w:t>
      </w:r>
    </w:p>
    <w:p>
      <w:pPr>
        <w:spacing w:before="80" w:after="80"/>
        <w:ind w:left="720"/>
      </w:pPr>
      <w:r>
        <w:rPr>
          <w:b/>
          <w:color w:val="1F3864"/>
          <w:sz w:val="22"/>
        </w:rPr>
        <w:t xml:space="preserve">Percentage Improvement:  </w:t>
      </w:r>
      <w:r>
        <w:rPr>
          <w:rFonts w:ascii="Cambria Math" w:hAnsi="Cambria Math"/>
          <w:b/>
          <w:color w:val="C00000"/>
          <w:sz w:val="24"/>
        </w:rPr>
        <w:t>% Improvement  =  ( (V_after − V_before) / V_before ) × 100</w:t>
      </w:r>
    </w:p>
    <w:p/>
    <w:p>
      <w:pPr>
        <w:pStyle w:val="Heading2"/>
        <w:jc w:val="left"/>
      </w:pPr>
      <w:r>
        <w:rPr>
          <w:b/>
          <w:color w:val="1F3864"/>
          <w:sz w:val="26"/>
        </w:rPr>
        <w:t>Peak Loading Hour (Hour 19)</w:t>
      </w:r>
    </w:p>
    <w:p>
      <w:pPr>
        <w:spacing w:before="80" w:after="120"/>
      </w:pPr>
      <w:r>
        <w:rPr>
          <w:b w:val="0"/>
          <w:i w:val="0"/>
          <w:color w:val="000000"/>
          <w:sz w:val="22"/>
        </w:rPr>
        <w:t>During the maximum feeder demand period (Hour 19), the baseline Phase-A voltage drops to its lowest level before BESS intervention (V_before = 2250.18 V):</w:t>
      </w:r>
    </w:p>
    <w:p>
      <w:pPr>
        <w:spacing w:before="80" w:after="80"/>
        <w:ind w:left="720"/>
      </w:pPr>
      <w:r>
        <w:rPr>
          <w:b/>
          <w:color w:val="1F3864"/>
          <w:sz w:val="22"/>
        </w:rPr>
        <w:t xml:space="preserve">ΔV:  </w:t>
      </w:r>
      <w:r>
        <w:rPr>
          <w:rFonts w:ascii="Cambria Math" w:hAnsi="Cambria Math"/>
          <w:b/>
          <w:color w:val="C00000"/>
          <w:sz w:val="24"/>
        </w:rPr>
        <w:t>ΔV  =  2303.02 V  −  2250.18 V  =  52.84 V</w:t>
      </w:r>
    </w:p>
    <w:p>
      <w:pPr>
        <w:spacing w:before="80" w:after="80"/>
        <w:ind w:left="720"/>
      </w:pPr>
      <w:r>
        <w:rPr>
          <w:b/>
          <w:color w:val="1F3864"/>
          <w:sz w:val="22"/>
        </w:rPr>
        <w:t xml:space="preserve">% Improvement:  </w:t>
      </w:r>
      <w:r>
        <w:rPr>
          <w:rFonts w:ascii="Cambria Math" w:hAnsi="Cambria Math"/>
          <w:b/>
          <w:color w:val="C00000"/>
          <w:sz w:val="24"/>
        </w:rPr>
        <w:t>% Improvement  =  ( 52.84 V / 2250.18 V ) × 100  =  2.35 %</w:t>
      </w:r>
    </w:p>
    <w:p/>
    <w:p>
      <w:pPr>
        <w:pStyle w:val="Heading2"/>
        <w:jc w:val="left"/>
      </w:pPr>
      <w:r>
        <w:rPr>
          <w:b/>
          <w:color w:val="1F3864"/>
          <w:sz w:val="26"/>
        </w:rPr>
        <w:t>Mid-Day Solar Transition (Hour 13)</w:t>
      </w:r>
    </w:p>
    <w:p>
      <w:pPr>
        <w:spacing w:before="80" w:after="120"/>
      </w:pPr>
      <w:r>
        <w:rPr>
          <w:b w:val="0"/>
          <w:i w:val="0"/>
          <w:color w:val="000000"/>
          <w:sz w:val="22"/>
        </w:rPr>
        <w:t>At Hour 13, under high solar irradiance and moderate load demands (V_before = 2299.35 V):</w:t>
      </w:r>
    </w:p>
    <w:p>
      <w:pPr>
        <w:spacing w:before="80" w:after="80"/>
        <w:ind w:left="720"/>
      </w:pPr>
      <w:r>
        <w:rPr>
          <w:b/>
          <w:color w:val="1F3864"/>
          <w:sz w:val="22"/>
        </w:rPr>
        <w:t xml:space="preserve">ΔV:  </w:t>
      </w:r>
      <w:r>
        <w:rPr>
          <w:rFonts w:ascii="Cambria Math" w:hAnsi="Cambria Math"/>
          <w:b/>
          <w:color w:val="C00000"/>
          <w:sz w:val="24"/>
        </w:rPr>
        <w:t>ΔV  =  2337.77 V  −  2299.35 V  =  38.42 V</w:t>
      </w:r>
    </w:p>
    <w:p>
      <w:pPr>
        <w:spacing w:before="80" w:after="80"/>
        <w:ind w:left="720"/>
      </w:pPr>
      <w:r>
        <w:rPr>
          <w:b/>
          <w:color w:val="1F3864"/>
          <w:sz w:val="22"/>
        </w:rPr>
        <w:t xml:space="preserve">% Improvement:  </w:t>
      </w:r>
      <w:r>
        <w:rPr>
          <w:rFonts w:ascii="Cambria Math" w:hAnsi="Cambria Math"/>
          <w:b/>
          <w:color w:val="C00000"/>
          <w:sz w:val="24"/>
        </w:rPr>
        <w:t>% Improvement  =  ( 38.42 V / 2299.35 V ) × 100  =  1.67 %</w:t>
      </w:r>
    </w:p>
    <w:p/>
    <w:p>
      <w:pPr>
        <w:pStyle w:val="Heading1"/>
        <w:jc w:val="left"/>
      </w:pPr>
      <w:r>
        <w:rPr>
          <w:b/>
          <w:color w:val="1F3864"/>
          <w:sz w:val="32"/>
        </w:rPr>
        <w:t>4.3  Key Findings &amp; System Interpretation</w:t>
      </w:r>
    </w:p>
    <w:p>
      <w:pPr>
        <w:pStyle w:val="ListNumber"/>
        <w:spacing w:before="80" w:after="80"/>
      </w:pPr>
      <w:r>
        <w:rPr>
          <w:b/>
          <w:color w:val="1F3864"/>
          <w:sz w:val="22"/>
        </w:rPr>
        <w:t xml:space="preserve">Direct Correlation with Dispatch Profile: </w:t>
      </w:r>
      <w:r>
        <w:rPr>
          <w:sz w:val="22"/>
        </w:rPr>
        <w:t>The numerical results demonstrate a strong coupling between the BESS schedule (BESSShape) and the bus voltage. Voltage improvements occur exclusively when active power is being exchanged with the feeder.</w:t>
      </w:r>
    </w:p>
    <w:p>
      <w:pPr>
        <w:pStyle w:val="ListNumber"/>
        <w:spacing w:before="80" w:after="80"/>
      </w:pPr>
      <w:r>
        <w:rPr>
          <w:b/>
          <w:color w:val="1F3864"/>
          <w:sz w:val="22"/>
        </w:rPr>
        <w:t xml:space="preserve">Peak Sag Mitigation: </w:t>
      </w:r>
      <w:r>
        <w:rPr>
          <w:sz w:val="22"/>
        </w:rPr>
        <w:t>The maximum voltage recovery occurs at Hour 19, yielding a 52.84 V (+2.35%) rise. This confirms that discharging BESS active power during peak loading hours effectively mitigates severe end-of-line voltage sags.</w:t>
      </w:r>
    </w:p>
    <w:p>
      <w:pPr>
        <w:pStyle w:val="ListNumber"/>
        <w:spacing w:before="80" w:after="80"/>
      </w:pPr>
      <w:r>
        <w:rPr>
          <w:b/>
          <w:color w:val="1F3864"/>
          <w:sz w:val="22"/>
        </w:rPr>
        <w:t xml:space="preserve">Mid-Day PV Integration Support: </w:t>
      </w:r>
      <w:r>
        <w:rPr>
          <w:sz w:val="22"/>
        </w:rPr>
        <w:t>During Hours 9 through 16, combined PV generation and energy management maintain the line voltage comfortably above 2315 V, flattening the daily voltage profile.</w:t>
      </w:r>
    </w:p>
    <w:p>
      <w:pPr>
        <w:pStyle w:val="ListNumber"/>
        <w:spacing w:before="80" w:after="80"/>
      </w:pPr>
      <w:r>
        <w:rPr>
          <w:b/>
          <w:color w:val="1F3864"/>
          <w:sz w:val="22"/>
        </w:rPr>
        <w:t xml:space="preserve">Zero-Infiltration during Idle Hours: </w:t>
      </w:r>
      <w:r>
        <w:rPr>
          <w:sz w:val="22"/>
        </w:rPr>
        <w:t>Between Hours 20 and 24, when the BESS multiplier is set to 0.0, the voltages before and after remain identical. This confirms that the simulation reflects accurate dispatch behavior without lingering mathematical offsets.</w:t>
      </w:r>
    </w:p>
    <w:p/>
    <w:p>
      <w:pPr>
        <w:pStyle w:val="Heading1"/>
        <w:jc w:val="left"/>
      </w:pPr>
      <w:r>
        <w:rPr>
          <w:b/>
          <w:color w:val="1F3864"/>
          <w:sz w:val="32"/>
        </w:rPr>
        <w:t>4.4  Thesis / Publication Summary Statement</w:t>
      </w:r>
    </w:p>
    <w:tbl>
      <w:tblPr>
        <w:tblW w:type="auto" w:w="0"/>
        <w:jc w:val="center"/>
        <w:tblLook w:firstColumn="1" w:firstRow="1" w:lastColumn="0" w:lastRow="0" w:noHBand="0" w:noVBand="1" w:val="04A0"/>
      </w:tblPr>
      <w:tblGrid>
        <w:gridCol w:w="9122"/>
      </w:tblGrid>
      <w:tr>
        <w:tc>
          <w:tcPr>
            <w:tcW w:type="dxa" w:w="8640"/>
            <w:shd w:val="clear" w:color="auto" w:fill="EBF3FB"/>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spacing w:before="120" w:after="120"/>
              <w:ind w:left="144" w:right="144"/>
              <w:jc w:val="both"/>
            </w:pPr>
            <w:r>
              <w:rPr>
                <w:i/>
                <w:color w:val="1F3864"/>
                <w:sz w:val="21"/>
              </w:rPr>
              <w:t>"The integration of the 350 kW / 1400 kWh Battery Energy Storage System (BESS) co-located with solar PV significantly improved the voltage profile at the weak terminal node (Bus 675). During the peak loading interval at Hour 19, phase-A voltage was boosted from a baseline of 2250.18 V to 2303.02 V, representing a net voltage recovery of 52.84 V (2.35%). The observed voltage support directly aligns with the active power injection intervals of the programmed dispatch profile, confirming that localized storage effectively alleviates severe distribution-level voltage sags during critical peak periods."</w:t>
            </w:r>
          </w:p>
        </w:tc>
      </w:tr>
    </w:tbl>
    <w:p/>
    <w:p>
      <w:pPr>
        <w:spacing w:before="240" w:after="80"/>
      </w:pPr>
      <w:r>
        <w:rPr>
          <w:b w:val="0"/>
          <w:i/>
          <w:color w:val="595959"/>
          <w:sz w:val="18"/>
        </w:rPr>
        <w:t>IEEE 13-Bus Feeder | BESS: 350 kW / 1400 kWh | Simulation: 24-Hour Daily Load Flow | Phase-A Analysis at Bus 675</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