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Smart City Traffic Intelligence</w:t>
      </w:r>
    </w:p>
    <w:p>
      <w:pPr>
        <w:jc w:val="center"/>
      </w:pPr>
      <w:r>
        <w:rPr>
          <w:i/>
          <w:sz w:val="28"/>
        </w:rPr>
        <w:t>From Data Analytics to AI-Powered Mobility</w:t>
      </w:r>
    </w:p>
    <w:p>
      <w:pPr>
        <w:pStyle w:val="Heading1"/>
      </w:pPr>
      <w:r>
        <w:t>Executive Summary</w:t>
      </w:r>
    </w:p>
    <w:p>
      <w:r>
        <w:t>This capstone develops an end-to-end traffic-intelligence workflow using the supplied Metro Interstate Traffic Volume dataset. The solution connects SQL/statistics/probability, reproducible Python engineering, supervised and unsupervised learning, a neural network, SHAP explainability, timing recommendations and an API/monitoring simulation.</w:t>
      </w:r>
    </w:p>
    <w:p>
      <w:r>
        <w:t>The central operational finding is that traffic is strongly structured by time of day and day type. Average traffic is highest around 16:00, weekday traffic is substantially higher than weekend traffic, and temperature has only a weak linear association with traffic. These findings support a multivariate predictive model and timing-focused recommendations.</w:t>
      </w:r>
    </w:p>
    <w:p>
      <w:pPr>
        <w:pStyle w:val="Heading1"/>
      </w:pPr>
      <w:r>
        <w:t>1. Data Analytics</w:t>
      </w:r>
    </w:p>
    <w:p>
      <w:r>
        <w:t>The supplied CSV contains 48,204 hourly records and 9 original columns. Annual traffic totals were 8,208,767 (2012), 28,177,412 (2013), 15,731,289 (2014), 14,181,206 (2015), 29,494,821 (2016), and 35,428,156 (2017). Because annual record counts differ, annual totals should be interpreted alongside annual means.</w:t>
      </w:r>
    </w:p>
    <w:p>
      <w:r>
        <w:t>Traffic mean = 3,259.82; median = 3,380; standard deviation = 1,986.84; variance = 3,947,533.43; range = 7,280. Pearson correlation between temperature and traffic = 0.1303, indicating a weak positive linear association rather than a strong relationship.</w:t>
      </w:r>
    </w:p>
    <w:p>
      <w:r>
        <w:t>With high congestion defined as traffic volume &gt;5,500 and clear weather defined as weather_main = Clear, P(High Congestion)=14.73%, P(Clear Weather)=27.78%, P(Clear Weather | High Congestion)=24.83%, and P(High Congestion and Clear Weather)=3.66%. The independence benchmark is 4.09%, while the odds ratio is approximately 0.84. These results indicate an association under the chosen definitions, not causation. Holiday analysis found Labor Day observations in 2015, 2016 and 2017, and New Year’s Day observations in 2016 and 2017; no labelled New Year’s Day observation was present for 2015.</w:t>
      </w:r>
    </w:p>
    <w:p>
      <w:pPr>
        <w:pStyle w:val="Heading1"/>
      </w:pPr>
      <w:r>
        <w:t>2. Python Pipeline</w:t>
      </w:r>
    </w:p>
    <w:p>
      <w:r>
        <w:t>The pipeline validates the schema before processing, parses timestamps, standardises categorical text, removes 17 exact duplicates, imputes 10 non-physical temperature readings and 120 rainfall readings above the assignment’s 9 mm plausibility threshold using monthly medians, and validates other physical ranges. The cleaned dataset contains 48,187 rows and the final pipeline output contains 18 columns.</w:t>
      </w:r>
    </w:p>
    <w:p>
      <w:r>
        <w:t>The project contains four Matplotlib figures and a command-line application supporting traffic-at, high-periods, weekday-weekend and recommend commands. Logging uses named module loggers, levelled messages and main-entry-point console/file handlers.</w:t>
      </w:r>
    </w:p>
    <w:p>
      <w:pPr>
        <w:pStyle w:val="Heading1"/>
      </w:pPr>
      <w:r>
        <w:t>3. Machine Learning</w:t>
      </w:r>
    </w:p>
    <w:p>
      <w:pPr>
        <w:pStyle w:val="Heading2"/>
      </w:pPr>
      <w:r>
        <w:t>Regression</w:t>
      </w:r>
    </w:p>
    <w:p>
      <w:r>
        <w:t>Linear Regression: MAE 1619.86 and R² -3.3021. Random Forest Regressor: MAE 210.22 and R² 0.9667. The random forest substantially outperforms the linear baseline on the held-out test set and is the stronger tabular regression model.</w:t>
      </w:r>
    </w:p>
    <w:p>
      <w:pPr>
        <w:pStyle w:val="Heading2"/>
      </w:pPr>
      <w:r>
        <w:t>Proxy accident-risk classification</w:t>
      </w:r>
    </w:p>
    <w:p>
      <w:r>
        <w:t>Logistic regression: accuracy 0.8756, precision 0.6528, recall 0.6016, F1 0.6261 and ROC AUC 0.9230. Random forest: accuracy 0.9851, precision 0.9305, recall 0.9874, F1 0.9581 and ROC AUC 0.9989.</w:t>
      </w:r>
    </w:p>
    <w:p>
      <w:r>
        <w:t>The classification target is explicitly a proxy because the capstone materials state that no accident dataset was supplied. It must not be communicated as actual accident prediction.</w:t>
      </w:r>
    </w:p>
    <w:p>
      <w:pPr>
        <w:pStyle w:val="Heading1"/>
      </w:pPr>
      <w:r>
        <w:t>4. Unsupervised Learning</w:t>
      </w:r>
    </w:p>
    <w:p>
      <w:r>
        <w:t>K-means was evaluated for k=2–8; k=5 was selected based on the elbow analysis. The resulting silhouette score was 0.2347, indicating limited to moderate cluster separation. The clusters primarily distinguish overnight low-volume states from daytime higher-volume states, with additional separation by cloud cover and weather conditions. Two very small clusters were associated with unusual extreme-weather observations.</w:t>
      </w:r>
    </w:p>
    <w:p>
      <w:r>
        <w:t>Association-rule mining found strong time/day relationships. The strongest meaningful rule was Weekday + Morning Peak → Severe congestion, with support of 10.03%, confidence of 82.17% and lift of 3.29. Another strong relationship was Weekend + Daytime → High congestion, with confidence of 80.44% and lift of 3.22. These results reinforce the importance of temporal and day-type context. Because some rules are influenced by the way congestion categories and time periods are defined, the rules should be interpreted as descriptive associations rather than causal relationships.</w:t>
      </w:r>
    </w:p>
    <w:p>
      <w:pPr>
        <w:pStyle w:val="Heading1"/>
      </w:pPr>
      <w:r>
        <w:t>5. Neural Network and Explainability</w:t>
      </w:r>
    </w:p>
    <w:p>
      <w:r>
        <w:t>A compact two-hidden-layer neural network (MLPClassifier) was trained for the proxy high-risk classification task. It achieved accuracy 0.9850, precision 0.9509, recall 0.9629, F1 0.9568 and ROC AUC 0.9974 on the held-out test set. SHAP was applied to the Random Forest classification model to provide feature-level explanations. The SHAP analysis identified the most influential transformed input features for the model's positive high-risk prediction. Because the target is a constructed proxy rather than observed accident data, these explanations should not be interpreted as evidence about actual accident causation.</w:t>
      </w:r>
    </w:p>
    <w:p>
      <w:pPr>
        <w:pStyle w:val="Heading1"/>
      </w:pPr>
      <w:r>
        <w:t>6. MLOps, Deployment and Recommendations</w:t>
      </w:r>
    </w:p>
    <w:p>
      <w:r>
        <w:t>The repository documents the final Random Forest classification model, records an MLflow experiment/run for the selected classifier, includes a FastAPI deployment simulation and includes a drift-monitoring workflow. The MLflow run logged the classification model and metrics: accuracy 0.9851, precision 0.9305, recall 0.9874, F1 0.9581 and ROC AUC 0.9989.</w:t>
      </w:r>
    </w:p>
    <w:p>
      <w:r>
        <w:t>The monitoring simulation compares training and test distributions using Kolmogorov–Smirnov tests across eight numeric features. All eight checks passed, with 0 ALERT results, so the current monitoring status is PASS. This is an internal stability check based on a historical train/test split from the same dataset and should not be interpreted as evidence that production drift is absent. The timing recommendation engine focuses on commuter windows rather than route choice because the data covers a single corridor.</w:t>
      </w:r>
    </w:p>
    <w:p>
      <w:pPr>
        <w:pStyle w:val="Heading1"/>
      </w:pPr>
      <w:r>
        <w:t>7. Responsible and Sustainable AI</w:t>
      </w:r>
    </w:p>
    <w:p>
      <w:r>
        <w:t>The dataset covers one corridor, has uneven temporal coverage and sparse holiday labels. The proxy accident-risk label is constructed from congestion quartiles and selected severe/low-visibility weather, so it is not an observed accident outcome. Fairness checks showed stronger performance on weekdays than weekends: weekday accuracy 0.9892 vs weekend 0.9745, precision 0.9572 vs 0.8117, recall 0.9907 vs 0.9705, and F1 0.9736 vs 0.8840. These gaps show that errors are not evenly distributed. Before operational safety use, the model would require real accident/safety data, domain review, human oversight, model versioning, audit logs, monitoring and rollback procedures. The solution uses compact tabular models and a small neural network to avoid unnecessary computational complexity.</w:t>
      </w:r>
    </w:p>
    <w:p>
      <w:pPr>
        <w:pStyle w:val="Heading1"/>
      </w:pPr>
      <w:r>
        <w:t>Conclusion</w:t>
      </w:r>
    </w:p>
    <w:p>
      <w:r>
        <w:t>The evidence supports a traffic-intelligence approach centred on temporal demand patterns, with weather as contextual information. The Random Forest Regressor is the strongest tested tabular demand model (MAE 210.22; R² 0.9667), while the Random Forest classifier is the strongest tested proxy-risk classifier (F1 0.9581; ROC AUC 0.9989). The two-hidden-layer MLPClassifier provides a neural-network alternative (F1 0.9568; ROC AUC 0.9974). The recommendation engine remains timing-focused, with early-morning 2–4 AM periods historically showing lower traffic, and any safety-oriented use should replace the proxy label with validated accident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