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b/>
          <w:bCs/>
          <w:color w:val="1F4E79"/>
          <w:sz w:val="72"/>
          <w:szCs w:val="72"/>
        </w:rPr>
        <w:t xml:space="preserve">CyberIA</w:t>
      </w:r>
    </w:p>
    <w:p>
      <w:pPr>
        <w:spacing w:after="400"/>
      </w:pPr>
      <w:r>
        <w:rPr>
          <w:color w:val="404040"/>
          <w:sz w:val="36"/>
          <w:szCs w:val="36"/>
        </w:rPr>
        <w:t xml:space="preserve">Automated Cyberattack Timeline Reconstruction &amp; Forensic Analysis</w:t>
      </w:r>
    </w:p>
    <w:p>
      <w:pPr>
        <w:spacing w:after="120"/>
      </w:pPr>
      <w:r>
        <w:rPr>
          <w:b/>
          <w:bCs/>
          <w:sz w:val="28"/>
          <w:szCs w:val="28"/>
        </w:rPr>
        <w:t xml:space="preserve">Project Report</w:t>
      </w:r>
    </w:p>
    <w:p>
      <w:pPr>
        <w:spacing w:after="120"/>
      </w:pPr>
      <w:r>
        <w:rPr>
          <w:sz w:val="22"/>
          <w:szCs w:val="22"/>
        </w:rPr>
        <w:t xml:space="preserve">Date: October 20, 2026</w:t>
      </w:r>
    </w:p>
    <w:p>
      <w:pPr>
        <w:spacing w:after="120"/>
      </w:pPr>
      <w:r>
        <w:rPr>
          <w:sz w:val="22"/>
          <w:szCs w:val="22"/>
        </w:rPr>
        <w:t xml:space="preserve">Status: Working prototype, demonstrated on synthetic data</w:t>
      </w:r>
    </w:p>
    <w:p>
      <w:r>
        <w:br w:type="page"/>
      </w:r>
    </w:p>
    <w:p>
      <w:pPr>
        <w:pStyle w:val="Heading1"/>
      </w:pPr>
      <w:r>
        <w:t xml:space="preserve">1. Executive summary</w:t>
      </w:r>
    </w:p>
    <w:p>
      <w:pPr>
        <w:spacing w:after="160" w:line="300"/>
      </w:pPr>
      <w:r>
        <w:t xml:space="preserve">CyberIA is a defensive digital-forensics (DFIR) tool. It takes exported log files from a Windows host, a Sysmon sensor and a network capture, and reconstructs what an attacker did. It orders events on a single timeline, groups related activity into incidents, maps each finding to MITRE ATT&amp;CK techniques, extracts indicators of compromise (IOCs), scores risk with an explanation, and exports the results as forensic reports.</w:t>
      </w:r>
    </w:p>
    <w:p>
      <w:pPr>
        <w:spacing w:after="160" w:line="300"/>
      </w:pPr>
      <w:r>
        <w:t xml:space="preserve">The tool runs entirely offline. It needs no database, no paid APIs and no network access. Analysts work through a dark-themed Streamlit web console.</w:t>
      </w:r>
    </w:p>
    <w:p>
      <w:pPr>
        <w:pStyle w:val="Heading2"/>
      </w:pPr>
      <w:r>
        <w:t xml:space="preserve">Headline results on the sample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F4E79" w:color="auto" w:val="clear"/>
            <w:tcMar>
              <w:top w:type="dxa" w:w="60"/>
              <w:left w:type="dxa" w:w="100"/>
              <w:bottom w:type="dxa" w:w="60"/>
              <w:right w:type="dxa" w:w="100"/>
            </w:tcMar>
          </w:tcPr>
          <w:p>
            <w:r>
              <w:rPr>
                <w:b/>
                <w:bCs/>
                <w:color w:val="FFFFFF"/>
                <w:sz w:val="19"/>
                <w:szCs w:val="19"/>
              </w:rPr>
              <w:t xml:space="preserve">Measure</w:t>
            </w:r>
          </w:p>
        </w:tc>
        <w:tc>
          <w:tcPr>
            <w:tcW w:type="dxa" w:w="5760"/>
            <w:shd w:fill="1F4E79" w:color="auto" w:val="clear"/>
            <w:tcMar>
              <w:top w:type="dxa" w:w="60"/>
              <w:left w:type="dxa" w:w="100"/>
              <w:bottom w:type="dxa" w:w="60"/>
              <w:right w:type="dxa" w:w="100"/>
            </w:tcMar>
          </w:tcPr>
          <w:p>
            <w:r>
              <w:rPr>
                <w:b/>
                <w:bCs/>
                <w:color w:val="FFFFFF"/>
                <w:sz w:val="19"/>
                <w:szCs w:val="19"/>
              </w:rPr>
              <w:t xml:space="preserve">Result</w:t>
            </w:r>
          </w:p>
        </w:tc>
      </w:tr>
      <w:tr>
        <w:tc>
          <w:tcPr>
            <w:tcW w:type="dxa" w:w="3600"/>
            <w:tcMar>
              <w:top w:type="dxa" w:w="60"/>
              <w:left w:type="dxa" w:w="100"/>
              <w:bottom w:type="dxa" w:w="60"/>
              <w:right w:type="dxa" w:w="100"/>
            </w:tcMar>
          </w:tcPr>
          <w:p>
            <w:r>
              <w:rPr>
                <w:b w:val="false"/>
                <w:bCs w:val="false"/>
                <w:color w:val="000000"/>
                <w:sz w:val="19"/>
                <w:szCs w:val="19"/>
              </w:rPr>
              <w:t xml:space="preserve">Events analysed</w:t>
            </w:r>
          </w:p>
        </w:tc>
        <w:tc>
          <w:tcPr>
            <w:tcW w:type="dxa" w:w="5760"/>
            <w:tcMar>
              <w:top w:type="dxa" w:w="60"/>
              <w:left w:type="dxa" w:w="100"/>
              <w:bottom w:type="dxa" w:w="60"/>
              <w:right w:type="dxa" w:w="100"/>
            </w:tcMar>
          </w:tcPr>
          <w:p>
            <w:r>
              <w:rPr>
                <w:b w:val="false"/>
                <w:bCs w:val="false"/>
                <w:color w:val="000000"/>
                <w:sz w:val="19"/>
                <w:szCs w:val="19"/>
              </w:rPr>
              <w:t xml:space="preserve">587 (from 3 log sources)</w:t>
            </w:r>
          </w:p>
        </w:tc>
      </w:tr>
      <w:tr>
        <w:tc>
          <w:tcPr>
            <w:tcW w:type="dxa" w:w="3600"/>
            <w:shd w:fill="F5F8FB" w:color="auto" w:val="clear"/>
            <w:tcMar>
              <w:top w:type="dxa" w:w="60"/>
              <w:left w:type="dxa" w:w="100"/>
              <w:bottom w:type="dxa" w:w="60"/>
              <w:right w:type="dxa" w:w="100"/>
            </w:tcMar>
          </w:tcPr>
          <w:p>
            <w:r>
              <w:rPr>
                <w:b w:val="false"/>
                <w:bCs w:val="false"/>
                <w:color w:val="000000"/>
                <w:sz w:val="19"/>
                <w:szCs w:val="19"/>
              </w:rPr>
              <w:t xml:space="preserve">Incidents identified</w:t>
            </w:r>
          </w:p>
        </w:tc>
        <w:tc>
          <w:tcPr>
            <w:tcW w:type="dxa" w:w="5760"/>
            <w:shd w:fill="F5F8FB" w:color="auto" w:val="clear"/>
            <w:tcMar>
              <w:top w:type="dxa" w:w="60"/>
              <w:left w:type="dxa" w:w="100"/>
              <w:bottom w:type="dxa" w:w="60"/>
              <w:right w:type="dxa" w:w="100"/>
            </w:tcMar>
          </w:tcPr>
          <w:p>
            <w:r>
              <w:rPr>
                <w:b w:val="false"/>
                <w:bCs w:val="false"/>
                <w:color w:val="000000"/>
                <w:sz w:val="19"/>
                <w:szCs w:val="19"/>
              </w:rPr>
              <w:t xml:space="preserve">2 (on WS-FIN-07 and WS-HR-02)</w:t>
            </w:r>
          </w:p>
        </w:tc>
      </w:tr>
      <w:tr>
        <w:tc>
          <w:tcPr>
            <w:tcW w:type="dxa" w:w="3600"/>
            <w:tcMar>
              <w:top w:type="dxa" w:w="60"/>
              <w:left w:type="dxa" w:w="100"/>
              <w:bottom w:type="dxa" w:w="60"/>
              <w:right w:type="dxa" w:w="100"/>
            </w:tcMar>
          </w:tcPr>
          <w:p>
            <w:r>
              <w:rPr>
                <w:b w:val="false"/>
                <w:bCs w:val="false"/>
                <w:color w:val="000000"/>
                <w:sz w:val="19"/>
                <w:szCs w:val="19"/>
              </w:rPr>
              <w:t xml:space="preserve">Detections raised</w:t>
            </w:r>
          </w:p>
        </w:tc>
        <w:tc>
          <w:tcPr>
            <w:tcW w:type="dxa" w:w="5760"/>
            <w:tcMar>
              <w:top w:type="dxa" w:w="60"/>
              <w:left w:type="dxa" w:w="100"/>
              <w:bottom w:type="dxa" w:w="60"/>
              <w:right w:type="dxa" w:w="100"/>
            </w:tcMar>
          </w:tcPr>
          <w:p>
            <w:r>
              <w:rPr>
                <w:b w:val="false"/>
                <w:bCs w:val="false"/>
                <w:color w:val="000000"/>
                <w:sz w:val="19"/>
                <w:szCs w:val="19"/>
              </w:rPr>
              <w:t xml:space="preserve">31 (3 Critical, 19 High, 9 Medium)</w:t>
            </w:r>
          </w:p>
        </w:tc>
      </w:tr>
      <w:tr>
        <w:tc>
          <w:tcPr>
            <w:tcW w:type="dxa" w:w="3600"/>
            <w:shd w:fill="F5F8FB" w:color="auto" w:val="clear"/>
            <w:tcMar>
              <w:top w:type="dxa" w:w="60"/>
              <w:left w:type="dxa" w:w="100"/>
              <w:bottom w:type="dxa" w:w="60"/>
              <w:right w:type="dxa" w:w="100"/>
            </w:tcMar>
          </w:tcPr>
          <w:p>
            <w:r>
              <w:rPr>
                <w:b w:val="false"/>
                <w:bCs w:val="false"/>
                <w:color w:val="000000"/>
                <w:sz w:val="19"/>
                <w:szCs w:val="19"/>
              </w:rPr>
              <w:t xml:space="preserve">Overall risk score</w:t>
            </w:r>
          </w:p>
        </w:tc>
        <w:tc>
          <w:tcPr>
            <w:tcW w:type="dxa" w:w="5760"/>
            <w:shd w:fill="F5F8FB" w:color="auto" w:val="clear"/>
            <w:tcMar>
              <w:top w:type="dxa" w:w="60"/>
              <w:left w:type="dxa" w:w="100"/>
              <w:bottom w:type="dxa" w:w="60"/>
              <w:right w:type="dxa" w:w="100"/>
            </w:tcMar>
          </w:tcPr>
          <w:p>
            <w:r>
              <w:rPr>
                <w:b w:val="false"/>
                <w:bCs w:val="false"/>
                <w:color w:val="000000"/>
                <w:sz w:val="19"/>
                <w:szCs w:val="19"/>
              </w:rPr>
              <w:t xml:space="preserve">100 / 100 (Critical)</w:t>
            </w:r>
          </w:p>
        </w:tc>
      </w:tr>
      <w:tr>
        <w:tc>
          <w:tcPr>
            <w:tcW w:type="dxa" w:w="3600"/>
            <w:tcMar>
              <w:top w:type="dxa" w:w="60"/>
              <w:left w:type="dxa" w:w="100"/>
              <w:bottom w:type="dxa" w:w="60"/>
              <w:right w:type="dxa" w:w="100"/>
            </w:tcMar>
          </w:tcPr>
          <w:p>
            <w:r>
              <w:rPr>
                <w:b w:val="false"/>
                <w:bCs w:val="false"/>
                <w:color w:val="000000"/>
                <w:sz w:val="19"/>
                <w:szCs w:val="19"/>
              </w:rPr>
              <w:t xml:space="preserve">Malicious IOCs</w:t>
            </w:r>
          </w:p>
        </w:tc>
        <w:tc>
          <w:tcPr>
            <w:tcW w:type="dxa" w:w="5760"/>
            <w:tcMar>
              <w:top w:type="dxa" w:w="60"/>
              <w:left w:type="dxa" w:w="100"/>
              <w:bottom w:type="dxa" w:w="60"/>
              <w:right w:type="dxa" w:w="100"/>
            </w:tcMar>
          </w:tcPr>
          <w:p>
            <w:r>
              <w:rPr>
                <w:b w:val="false"/>
                <w:bCs w:val="false"/>
                <w:color w:val="000000"/>
                <w:sz w:val="19"/>
                <w:szCs w:val="19"/>
              </w:rPr>
              <w:t xml:space="preserve">30 attack-linked IOCs</w:t>
            </w:r>
          </w:p>
        </w:tc>
      </w:tr>
      <w:tr>
        <w:tc>
          <w:tcPr>
            <w:tcW w:type="dxa" w:w="3600"/>
            <w:shd w:fill="F5F8FB" w:color="auto" w:val="clear"/>
            <w:tcMar>
              <w:top w:type="dxa" w:w="60"/>
              <w:left w:type="dxa" w:w="100"/>
              <w:bottom w:type="dxa" w:w="60"/>
              <w:right w:type="dxa" w:w="100"/>
            </w:tcMar>
          </w:tcPr>
          <w:p>
            <w:r>
              <w:rPr>
                <w:b w:val="false"/>
                <w:bCs w:val="false"/>
                <w:color w:val="000000"/>
                <w:sz w:val="19"/>
                <w:szCs w:val="19"/>
              </w:rPr>
              <w:t xml:space="preserve">Automated tests</w:t>
            </w:r>
          </w:p>
        </w:tc>
        <w:tc>
          <w:tcPr>
            <w:tcW w:type="dxa" w:w="5760"/>
            <w:shd w:fill="F5F8FB" w:color="auto" w:val="clear"/>
            <w:tcMar>
              <w:top w:type="dxa" w:w="60"/>
              <w:left w:type="dxa" w:w="100"/>
              <w:bottom w:type="dxa" w:w="60"/>
              <w:right w:type="dxa" w:w="100"/>
            </w:tcMar>
          </w:tcPr>
          <w:p>
            <w:r>
              <w:rPr>
                <w:b w:val="false"/>
                <w:bCs w:val="false"/>
                <w:color w:val="000000"/>
                <w:sz w:val="19"/>
                <w:szCs w:val="19"/>
              </w:rPr>
              <w:t xml:space="preserve">48 passed, 0 failed</w:t>
            </w:r>
          </w:p>
        </w:tc>
      </w:tr>
    </w:tbl>
    <w:p>
      <w:pPr>
        <w:spacing w:after="160" w:line="300"/>
      </w:pPr>
      <w:r>
        <w:t xml:space="preserve"/>
      </w:r>
    </w:p>
    <w:p>
      <w:pPr>
        <w:pStyle w:val="Heading1"/>
      </w:pPr>
      <w:r>
        <w:t xml:space="preserve">2. Scope and inputs</w:t>
      </w:r>
    </w:p>
    <w:p>
      <w:pPr>
        <w:spacing w:after="160" w:line="300"/>
      </w:pPr>
      <w:r>
        <w:t xml:space="preserve">CyberIA accepts CSV exports from three sources. It detects the source from the column headers, so the file name does not need to follow a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shd w:fill="1F4E79" w:color="auto" w:val="clear"/>
            <w:tcMar>
              <w:top w:type="dxa" w:w="60"/>
              <w:left w:type="dxa" w:w="100"/>
              <w:bottom w:type="dxa" w:w="60"/>
              <w:right w:type="dxa" w:w="100"/>
            </w:tcMar>
          </w:tcPr>
          <w:p>
            <w:r>
              <w:rPr>
                <w:b/>
                <w:bCs/>
                <w:color w:val="FFFFFF"/>
                <w:sz w:val="19"/>
                <w:szCs w:val="19"/>
              </w:rPr>
              <w:t xml:space="preserve">Source</w:t>
            </w:r>
          </w:p>
        </w:tc>
        <w:tc>
          <w:tcPr>
            <w:tcW w:type="dxa" w:w="4000"/>
            <w:shd w:fill="1F4E79" w:color="auto" w:val="clear"/>
            <w:tcMar>
              <w:top w:type="dxa" w:w="60"/>
              <w:left w:type="dxa" w:w="100"/>
              <w:bottom w:type="dxa" w:w="60"/>
              <w:right w:type="dxa" w:w="100"/>
            </w:tcMar>
          </w:tcPr>
          <w:p>
            <w:r>
              <w:rPr>
                <w:b/>
                <w:bCs/>
                <w:color w:val="FFFFFF"/>
                <w:sz w:val="19"/>
                <w:szCs w:val="19"/>
              </w:rPr>
              <w:t xml:space="preserve">Typical export</w:t>
            </w:r>
          </w:p>
        </w:tc>
        <w:tc>
          <w:tcPr>
            <w:tcW w:type="dxa" w:w="3160"/>
            <w:shd w:fill="1F4E79" w:color="auto" w:val="clear"/>
            <w:tcMar>
              <w:top w:type="dxa" w:w="60"/>
              <w:left w:type="dxa" w:w="100"/>
              <w:bottom w:type="dxa" w:w="60"/>
              <w:right w:type="dxa" w:w="100"/>
            </w:tcMar>
          </w:tcPr>
          <w:p>
            <w:r>
              <w:rPr>
                <w:b/>
                <w:bCs/>
                <w:color w:val="FFFFFF"/>
                <w:sz w:val="19"/>
                <w:szCs w:val="19"/>
              </w:rPr>
              <w:t xml:space="preserve">Used for</w:t>
            </w:r>
          </w:p>
        </w:tc>
      </w:tr>
      <w:tr>
        <w:tc>
          <w:tcPr>
            <w:tcW w:type="dxa" w:w="2200"/>
            <w:tcMar>
              <w:top w:type="dxa" w:w="60"/>
              <w:left w:type="dxa" w:w="100"/>
              <w:bottom w:type="dxa" w:w="60"/>
              <w:right w:type="dxa" w:w="100"/>
            </w:tcMar>
          </w:tcPr>
          <w:p>
            <w:r>
              <w:rPr>
                <w:b w:val="false"/>
                <w:bCs w:val="false"/>
                <w:color w:val="000000"/>
                <w:sz w:val="19"/>
                <w:szCs w:val="19"/>
              </w:rPr>
              <w:t xml:space="preserve">Windows Event Log</w:t>
            </w:r>
          </w:p>
        </w:tc>
        <w:tc>
          <w:tcPr>
            <w:tcW w:type="dxa" w:w="4000"/>
            <w:tcMar>
              <w:top w:type="dxa" w:w="60"/>
              <w:left w:type="dxa" w:w="100"/>
              <w:bottom w:type="dxa" w:w="60"/>
              <w:right w:type="dxa" w:w="100"/>
            </w:tcMar>
          </w:tcPr>
          <w:p>
            <w:r>
              <w:rPr>
                <w:b w:val="false"/>
                <w:bCs w:val="false"/>
                <w:color w:val="000000"/>
                <w:sz w:val="19"/>
                <w:szCs w:val="19"/>
              </w:rPr>
              <w:t xml:space="preserve">Security log CSV (logon, process, account and task events)</w:t>
            </w:r>
          </w:p>
        </w:tc>
        <w:tc>
          <w:tcPr>
            <w:tcW w:type="dxa" w:w="3160"/>
            <w:tcMar>
              <w:top w:type="dxa" w:w="60"/>
              <w:left w:type="dxa" w:w="100"/>
              <w:bottom w:type="dxa" w:w="60"/>
              <w:right w:type="dxa" w:w="100"/>
            </w:tcMar>
          </w:tcPr>
          <w:p>
            <w:r>
              <w:rPr>
                <w:b w:val="false"/>
                <w:bCs w:val="false"/>
                <w:color w:val="000000"/>
                <w:sz w:val="19"/>
                <w:szCs w:val="19"/>
              </w:rPr>
              <w:t xml:space="preserve">Authentication, account changes, process creation</w:t>
            </w:r>
          </w:p>
        </w:tc>
      </w:tr>
      <w:tr>
        <w:tc>
          <w:tcPr>
            <w:tcW w:type="dxa" w:w="2200"/>
            <w:shd w:fill="F5F8FB" w:color="auto" w:val="clear"/>
            <w:tcMar>
              <w:top w:type="dxa" w:w="60"/>
              <w:left w:type="dxa" w:w="100"/>
              <w:bottom w:type="dxa" w:w="60"/>
              <w:right w:type="dxa" w:w="100"/>
            </w:tcMar>
          </w:tcPr>
          <w:p>
            <w:r>
              <w:rPr>
                <w:b w:val="false"/>
                <w:bCs w:val="false"/>
                <w:color w:val="000000"/>
                <w:sz w:val="19"/>
                <w:szCs w:val="19"/>
              </w:rPr>
              <w:t xml:space="preserve">Sysmon</w:t>
            </w:r>
          </w:p>
        </w:tc>
        <w:tc>
          <w:tcPr>
            <w:tcW w:type="dxa" w:w="4000"/>
            <w:shd w:fill="F5F8FB" w:color="auto" w:val="clear"/>
            <w:tcMar>
              <w:top w:type="dxa" w:w="60"/>
              <w:left w:type="dxa" w:w="100"/>
              <w:bottom w:type="dxa" w:w="60"/>
              <w:right w:type="dxa" w:w="100"/>
            </w:tcMar>
          </w:tcPr>
          <w:p>
            <w:r>
              <w:rPr>
                <w:b w:val="false"/>
                <w:bCs w:val="false"/>
                <w:color w:val="000000"/>
                <w:sz w:val="19"/>
                <w:szCs w:val="19"/>
              </w:rPr>
              <w:t xml:space="preserve">Sysmon event CSV (EIDs 1, 3, 10, 11, 12, 13, 22 and others)</w:t>
            </w:r>
          </w:p>
        </w:tc>
        <w:tc>
          <w:tcPr>
            <w:tcW w:type="dxa" w:w="3160"/>
            <w:shd w:fill="F5F8FB" w:color="auto" w:val="clear"/>
            <w:tcMar>
              <w:top w:type="dxa" w:w="60"/>
              <w:left w:type="dxa" w:w="100"/>
              <w:bottom w:type="dxa" w:w="60"/>
              <w:right w:type="dxa" w:w="100"/>
            </w:tcMar>
          </w:tcPr>
          <w:p>
            <w:r>
              <w:rPr>
                <w:b w:val="false"/>
                <w:bCs w:val="false"/>
                <w:color w:val="000000"/>
                <w:sz w:val="19"/>
                <w:szCs w:val="19"/>
              </w:rPr>
              <w:t xml:space="preserve">Process tree, network connections, file and registry activity</w:t>
            </w:r>
          </w:p>
        </w:tc>
      </w:tr>
      <w:tr>
        <w:tc>
          <w:tcPr>
            <w:tcW w:type="dxa" w:w="2200"/>
            <w:tcMar>
              <w:top w:type="dxa" w:w="60"/>
              <w:left w:type="dxa" w:w="100"/>
              <w:bottom w:type="dxa" w:w="60"/>
              <w:right w:type="dxa" w:w="100"/>
            </w:tcMar>
          </w:tcPr>
          <w:p>
            <w:r>
              <w:rPr>
                <w:b w:val="false"/>
                <w:bCs w:val="false"/>
                <w:color w:val="000000"/>
                <w:sz w:val="19"/>
                <w:szCs w:val="19"/>
              </w:rPr>
              <w:t xml:space="preserve">Wireshark</w:t>
            </w:r>
          </w:p>
        </w:tc>
        <w:tc>
          <w:tcPr>
            <w:tcW w:type="dxa" w:w="4000"/>
            <w:tcMar>
              <w:top w:type="dxa" w:w="60"/>
              <w:left w:type="dxa" w:w="100"/>
              <w:bottom w:type="dxa" w:w="60"/>
              <w:right w:type="dxa" w:w="100"/>
            </w:tcMar>
          </w:tcPr>
          <w:p>
            <w:r>
              <w:rPr>
                <w:b w:val="false"/>
                <w:bCs w:val="false"/>
                <w:color w:val="000000"/>
                <w:sz w:val="19"/>
                <w:szCs w:val="19"/>
              </w:rPr>
              <w:t xml:space="preserve">Packet-list CSV (time, source, destination, protocol, info)</w:t>
            </w:r>
          </w:p>
        </w:tc>
        <w:tc>
          <w:tcPr>
            <w:tcW w:type="dxa" w:w="3160"/>
            <w:tcMar>
              <w:top w:type="dxa" w:w="60"/>
              <w:left w:type="dxa" w:w="100"/>
              <w:bottom w:type="dxa" w:w="60"/>
              <w:right w:type="dxa" w:w="100"/>
            </w:tcMar>
          </w:tcPr>
          <w:p>
            <w:r>
              <w:rPr>
                <w:b w:val="false"/>
                <w:bCs w:val="false"/>
                <w:color w:val="000000"/>
                <w:sz w:val="19"/>
                <w:szCs w:val="19"/>
              </w:rPr>
              <w:t xml:space="preserve">Network reconnaissance, traffic volume, DNS names</w:t>
            </w:r>
          </w:p>
        </w:tc>
      </w:tr>
    </w:tbl>
    <w:p>
      <w:pPr>
        <w:spacing w:after="160" w:line="300"/>
      </w:pPr>
      <w:r>
        <w:t xml:space="preserve"/>
      </w:r>
    </w:p>
    <w:p>
      <w:pPr>
        <w:pStyle w:val="Heading1"/>
      </w:pPr>
      <w:r>
        <w:t xml:space="preserve">3. How it works</w:t>
      </w:r>
    </w:p>
    <w:p>
      <w:pPr>
        <w:spacing w:after="160" w:line="300"/>
      </w:pPr>
      <w:r>
        <w:t xml:space="preserve">Processing runs as one pipeline. Each stage hands its output to the next:</w:t>
      </w:r>
    </w:p>
    <w:p>
      <w:pPr>
        <w:pStyle w:val="ListParagraph"/>
        <w:numPr>
          <w:ilvl w:val="0"/>
          <w:numId w:val="2"/>
        </w:numPr>
        <w:spacing w:after="80"/>
      </w:pPr>
      <w:r>
        <w:t xml:space="preserve">Parse: read each CSV, normalise column names and timestamps to UTC, and isolate row-level errors.</w:t>
      </w:r>
    </w:p>
    <w:p>
      <w:pPr>
        <w:pStyle w:val="ListParagraph"/>
        <w:numPr>
          <w:ilvl w:val="0"/>
          <w:numId w:val="2"/>
        </w:numPr>
        <w:spacing w:after="80"/>
      </w:pPr>
      <w:r>
        <w:t xml:space="preserve">Correlate: sort events chronologically, map IPs to hosts, and build process trees from PID and PPID.</w:t>
      </w:r>
    </w:p>
    <w:p>
      <w:pPr>
        <w:pStyle w:val="ListParagraph"/>
        <w:numPr>
          <w:ilvl w:val="0"/>
          <w:numId w:val="2"/>
        </w:numPr>
        <w:spacing w:after="80"/>
      </w:pPr>
      <w:r>
        <w:t xml:space="preserve">Detect: run event-level rules and cross-event rules (brute force, port scanning, beaconing, exfiltration).</w:t>
      </w:r>
    </w:p>
    <w:p>
      <w:pPr>
        <w:pStyle w:val="ListParagraph"/>
        <w:numPr>
          <w:ilvl w:val="0"/>
          <w:numId w:val="2"/>
        </w:numPr>
        <w:spacing w:after="80"/>
      </w:pPr>
      <w:r>
        <w:t xml:space="preserve">Extract IOCs: pull IPs, domains, URLs, hashes and suspicious file paths, then scope each as internal, external or allowlisted.</w:t>
      </w:r>
    </w:p>
    <w:p>
      <w:pPr>
        <w:pStyle w:val="ListParagraph"/>
        <w:numPr>
          <w:ilvl w:val="0"/>
          <w:numId w:val="2"/>
        </w:numPr>
        <w:spacing w:after="80"/>
      </w:pPr>
      <w:r>
        <w:t xml:space="preserve">Group and reconstruct: link related detections into incidents and order them into an attack chain.</w:t>
      </w:r>
    </w:p>
    <w:p>
      <w:pPr>
        <w:pStyle w:val="ListParagraph"/>
        <w:numPr>
          <w:ilvl w:val="0"/>
          <w:numId w:val="2"/>
        </w:numPr>
        <w:spacing w:after="80"/>
      </w:pPr>
      <w:r>
        <w:t xml:space="preserve">Score: compute an explainable 0–100 risk score at the detection, event and incident levels.</w:t>
      </w:r>
    </w:p>
    <w:p>
      <w:pPr>
        <w:pStyle w:val="ListParagraph"/>
        <w:numPr>
          <w:ilvl w:val="0"/>
          <w:numId w:val="2"/>
        </w:numPr>
        <w:spacing w:after="80"/>
      </w:pPr>
      <w:r>
        <w:t xml:space="preserve">Report: write JSON, CSV and ZIP outputs, with an executive summary and recommended actions.</w:t>
      </w:r>
    </w:p>
    <w:p>
      <w:pPr>
        <w:pStyle w:val="Heading2"/>
      </w:pPr>
      <w:r>
        <w:t xml:space="preserve">Project structure</w:t>
      </w:r>
    </w:p>
    <w:p>
      <w:pPr>
        <w:shd w:fill="F2F2F2" w:val="clear"/>
        <w:spacing w:after="40"/>
      </w:pPr>
      <w:r>
        <w:rPr>
          <w:rFonts w:ascii="Consolas" w:cs="Consolas" w:eastAsia="Consolas" w:hAnsi="Consolas"/>
          <w:sz w:val="20"/>
          <w:szCs w:val="20"/>
        </w:rPr>
        <w:t xml:space="preserve">app.py                  Streamlit SOC console (7 views)</w:t>
      </w:r>
    </w:p>
    <w:p>
      <w:pPr>
        <w:shd w:fill="F2F2F2" w:val="clear"/>
        <w:spacing w:after="40"/>
      </w:pPr>
      <w:r>
        <w:rPr>
          <w:rFonts w:ascii="Consolas" w:cs="Consolas" w:eastAsia="Consolas" w:hAnsi="Consolas"/>
          <w:sz w:val="20"/>
          <w:szCs w:val="20"/>
        </w:rPr>
        <w:t xml:space="preserve">core/                   normalisation, correlation, risk scoring, pipeline</w:t>
      </w:r>
    </w:p>
    <w:p>
      <w:pPr>
        <w:shd w:fill="F2F2F2" w:val="clear"/>
        <w:spacing w:after="40"/>
      </w:pPr>
      <w:r>
        <w:rPr>
          <w:rFonts w:ascii="Consolas" w:cs="Consolas" w:eastAsia="Consolas" w:hAnsi="Consolas"/>
          <w:sz w:val="20"/>
          <w:szCs w:val="20"/>
        </w:rPr>
        <w:t xml:space="preserve">parsers/                Windows, Sysmon and Wireshark parsers, plus format router</w:t>
      </w:r>
    </w:p>
    <w:p>
      <w:pPr>
        <w:shd w:fill="F2F2F2" w:val="clear"/>
        <w:spacing w:after="40"/>
      </w:pPr>
      <w:r>
        <w:rPr>
          <w:rFonts w:ascii="Consolas" w:cs="Consolas" w:eastAsia="Consolas" w:hAnsi="Consolas"/>
          <w:sz w:val="20"/>
          <w:szCs w:val="20"/>
        </w:rPr>
        <w:t xml:space="preserve">detection/              rules, detection engine, MITRE ATT&amp;CK mapping</w:t>
      </w:r>
    </w:p>
    <w:p>
      <w:pPr>
        <w:shd w:fill="F2F2F2" w:val="clear"/>
        <w:spacing w:after="40"/>
      </w:pPr>
      <w:r>
        <w:rPr>
          <w:rFonts w:ascii="Consolas" w:cs="Consolas" w:eastAsia="Consolas" w:hAnsi="Consolas"/>
          <w:sz w:val="20"/>
          <w:szCs w:val="20"/>
        </w:rPr>
        <w:t xml:space="preserve">ioc/                    IOC extractor</w:t>
      </w:r>
    </w:p>
    <w:p>
      <w:pPr>
        <w:shd w:fill="F2F2F2" w:val="clear"/>
        <w:spacing w:after="40"/>
      </w:pPr>
      <w:r>
        <w:rPr>
          <w:rFonts w:ascii="Consolas" w:cs="Consolas" w:eastAsia="Consolas" w:hAnsi="Consolas"/>
          <w:sz w:val="20"/>
          <w:szCs w:val="20"/>
        </w:rPr>
        <w:t xml:space="preserve">reports/                JSON, CSV and ZIP report generation; recommendations</w:t>
      </w:r>
    </w:p>
    <w:p>
      <w:pPr>
        <w:shd w:fill="F2F2F2" w:val="clear"/>
        <w:spacing w:after="40"/>
      </w:pPr>
      <w:r>
        <w:rPr>
          <w:rFonts w:ascii="Consolas" w:cs="Consolas" w:eastAsia="Consolas" w:hAnsi="Consolas"/>
          <w:sz w:val="20"/>
          <w:szCs w:val="20"/>
        </w:rPr>
        <w:t xml:space="preserve">visualization/          Plotly charts (dark theme)</w:t>
      </w:r>
    </w:p>
    <w:p>
      <w:pPr>
        <w:shd w:fill="F2F2F2" w:val="clear"/>
        <w:spacing w:after="40"/>
      </w:pPr>
      <w:r>
        <w:rPr>
          <w:rFonts w:ascii="Consolas" w:cs="Consolas" w:eastAsia="Consolas" w:hAnsi="Consolas"/>
          <w:sz w:val="20"/>
          <w:szCs w:val="20"/>
        </w:rPr>
        <w:t xml:space="preserve">config/                 paths and detection thresholds (overridable)</w:t>
      </w:r>
    </w:p>
    <w:p>
      <w:pPr>
        <w:shd w:fill="F2F2F2" w:val="clear"/>
        <w:spacing w:after="40"/>
      </w:pPr>
      <w:r>
        <w:rPr>
          <w:rFonts w:ascii="Consolas" w:cs="Consolas" w:eastAsia="Consolas" w:hAnsi="Consolas"/>
          <w:sz w:val="20"/>
          <w:szCs w:val="20"/>
        </w:rPr>
        <w:t xml:space="preserve">scripts/                synthetic sample data generator</w:t>
      </w:r>
    </w:p>
    <w:p>
      <w:pPr>
        <w:shd w:fill="F2F2F2" w:val="clear"/>
        <w:spacing w:after="40"/>
      </w:pPr>
      <w:r>
        <w:rPr>
          <w:rFonts w:ascii="Consolas" w:cs="Consolas" w:eastAsia="Consolas" w:hAnsi="Consolas"/>
          <w:sz w:val="20"/>
          <w:szCs w:val="20"/>
        </w:rPr>
        <w:t xml:space="preserve">tests/                  pytest suite (48 tests)</w:t>
      </w:r>
    </w:p>
    <w:p>
      <w:pPr>
        <w:spacing w:after="160" w:line="300"/>
      </w:pPr>
      <w:r>
        <w:t xml:space="preserve"/>
      </w:r>
    </w:p>
    <w:p>
      <w:pPr>
        <w:pStyle w:val="Heading1"/>
      </w:pPr>
      <w:r>
        <w:t xml:space="preserve">4. Detection coverage</w:t>
      </w:r>
    </w:p>
    <w:p>
      <w:pPr>
        <w:spacing w:after="160" w:line="300"/>
      </w:pPr>
      <w:r>
        <w:t xml:space="preserve">Each detection carries a rule, an ATT&amp;CK technique, a severity, a confidence value and the evidence rows that support it. Thresholds and allowlists are configurable, which is how false positives are reduced. Benign Microsoft update traffic, for example, is allowlisted and does not produce C2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760"/>
      </w:tblGrid>
      <w:tr>
        <w:trPr>
          <w:tblHeader/>
        </w:trPr>
        <w:tc>
          <w:tcPr>
            <w:tcW w:type="dxa" w:w="2700"/>
            <w:shd w:fill="1F4E79" w:color="auto" w:val="clear"/>
            <w:tcMar>
              <w:top w:type="dxa" w:w="60"/>
              <w:left w:type="dxa" w:w="100"/>
              <w:bottom w:type="dxa" w:w="60"/>
              <w:right w:type="dxa" w:w="100"/>
            </w:tcMar>
          </w:tcPr>
          <w:p>
            <w:r>
              <w:rPr>
                <w:b/>
                <w:bCs/>
                <w:color w:val="FFFFFF"/>
                <w:sz w:val="19"/>
                <w:szCs w:val="19"/>
              </w:rPr>
              <w:t xml:space="preserve">Area</w:t>
            </w:r>
          </w:p>
        </w:tc>
        <w:tc>
          <w:tcPr>
            <w:tcW w:type="dxa" w:w="2900"/>
            <w:shd w:fill="1F4E79" w:color="auto" w:val="clear"/>
            <w:tcMar>
              <w:top w:type="dxa" w:w="60"/>
              <w:left w:type="dxa" w:w="100"/>
              <w:bottom w:type="dxa" w:w="60"/>
              <w:right w:type="dxa" w:w="100"/>
            </w:tcMar>
          </w:tcPr>
          <w:p>
            <w:r>
              <w:rPr>
                <w:b/>
                <w:bCs/>
                <w:color w:val="FFFFFF"/>
                <w:sz w:val="19"/>
                <w:szCs w:val="19"/>
              </w:rPr>
              <w:t xml:space="preserve">Techniques detected</w:t>
            </w:r>
          </w:p>
        </w:tc>
        <w:tc>
          <w:tcPr>
            <w:tcW w:type="dxa" w:w="3760"/>
            <w:shd w:fill="1F4E79" w:color="auto" w:val="clear"/>
            <w:tcMar>
              <w:top w:type="dxa" w:w="60"/>
              <w:left w:type="dxa" w:w="100"/>
              <w:bottom w:type="dxa" w:w="60"/>
              <w:right w:type="dxa" w:w="100"/>
            </w:tcMar>
          </w:tcPr>
          <w:p>
            <w:r>
              <w:rPr>
                <w:b/>
                <w:bCs/>
                <w:color w:val="FFFFFF"/>
                <w:sz w:val="19"/>
                <w:szCs w:val="19"/>
              </w:rPr>
              <w:t xml:space="preserve">Method</w:t>
            </w:r>
          </w:p>
        </w:tc>
      </w:tr>
      <w:tr>
        <w:tc>
          <w:tcPr>
            <w:tcW w:type="dxa" w:w="2700"/>
            <w:tcMar>
              <w:top w:type="dxa" w:w="60"/>
              <w:left w:type="dxa" w:w="100"/>
              <w:bottom w:type="dxa" w:w="60"/>
              <w:right w:type="dxa" w:w="100"/>
            </w:tcMar>
          </w:tcPr>
          <w:p>
            <w:r>
              <w:rPr>
                <w:b w:val="false"/>
                <w:bCs w:val="false"/>
                <w:color w:val="000000"/>
                <w:sz w:val="19"/>
                <w:szCs w:val="19"/>
              </w:rPr>
              <w:t xml:space="preserve">Brute force and password spraying</w:t>
            </w:r>
          </w:p>
        </w:tc>
        <w:tc>
          <w:tcPr>
            <w:tcW w:type="dxa" w:w="2900"/>
            <w:tcMar>
              <w:top w:type="dxa" w:w="60"/>
              <w:left w:type="dxa" w:w="100"/>
              <w:bottom w:type="dxa" w:w="60"/>
              <w:right w:type="dxa" w:w="100"/>
            </w:tcMar>
          </w:tcPr>
          <w:p>
            <w:r>
              <w:rPr>
                <w:b w:val="false"/>
                <w:bCs w:val="false"/>
                <w:color w:val="000000"/>
                <w:sz w:val="19"/>
                <w:szCs w:val="19"/>
              </w:rPr>
              <w:t xml:space="preserve">T1110.001, T1110.003</w:t>
            </w:r>
          </w:p>
        </w:tc>
        <w:tc>
          <w:tcPr>
            <w:tcW w:type="dxa" w:w="3760"/>
            <w:tcMar>
              <w:top w:type="dxa" w:w="60"/>
              <w:left w:type="dxa" w:w="100"/>
              <w:bottom w:type="dxa" w:w="60"/>
              <w:right w:type="dxa" w:w="100"/>
            </w:tcMar>
          </w:tcPr>
          <w:p>
            <w:r>
              <w:rPr>
                <w:b w:val="false"/>
                <w:bCs w:val="false"/>
                <w:color w:val="000000"/>
                <w:sz w:val="19"/>
                <w:szCs w:val="19"/>
              </w:rPr>
              <w:t xml:space="preserve">Failure bursts per account and per source IP</w:t>
            </w:r>
          </w:p>
        </w:tc>
      </w:tr>
      <w:tr>
        <w:tc>
          <w:tcPr>
            <w:tcW w:type="dxa" w:w="2700"/>
            <w:shd w:fill="F5F8FB" w:color="auto" w:val="clear"/>
            <w:tcMar>
              <w:top w:type="dxa" w:w="60"/>
              <w:left w:type="dxa" w:w="100"/>
              <w:bottom w:type="dxa" w:w="60"/>
              <w:right w:type="dxa" w:w="100"/>
            </w:tcMar>
          </w:tcPr>
          <w:p>
            <w:r>
              <w:rPr>
                <w:b w:val="false"/>
                <w:bCs w:val="false"/>
                <w:color w:val="000000"/>
                <w:sz w:val="19"/>
                <w:szCs w:val="19"/>
              </w:rPr>
              <w:t xml:space="preserve">Valid account use after attack</w:t>
            </w:r>
          </w:p>
        </w:tc>
        <w:tc>
          <w:tcPr>
            <w:tcW w:type="dxa" w:w="2900"/>
            <w:shd w:fill="F5F8FB" w:color="auto" w:val="clear"/>
            <w:tcMar>
              <w:top w:type="dxa" w:w="60"/>
              <w:left w:type="dxa" w:w="100"/>
              <w:bottom w:type="dxa" w:w="60"/>
              <w:right w:type="dxa" w:w="100"/>
            </w:tcMar>
          </w:tcPr>
          <w:p>
            <w:r>
              <w:rPr>
                <w:b w:val="false"/>
                <w:bCs w:val="false"/>
                <w:color w:val="000000"/>
                <w:sz w:val="19"/>
                <w:szCs w:val="19"/>
              </w:rPr>
              <w:t xml:space="preserve">T1078</w:t>
            </w:r>
          </w:p>
        </w:tc>
        <w:tc>
          <w:tcPr>
            <w:tcW w:type="dxa" w:w="3760"/>
            <w:shd w:fill="F5F8FB" w:color="auto" w:val="clear"/>
            <w:tcMar>
              <w:top w:type="dxa" w:w="60"/>
              <w:left w:type="dxa" w:w="100"/>
              <w:bottom w:type="dxa" w:w="60"/>
              <w:right w:type="dxa" w:w="100"/>
            </w:tcMar>
          </w:tcPr>
          <w:p>
            <w:r>
              <w:rPr>
                <w:b w:val="false"/>
                <w:bCs w:val="false"/>
                <w:color w:val="000000"/>
                <w:sz w:val="19"/>
                <w:szCs w:val="19"/>
              </w:rPr>
              <w:t xml:space="preserve">Successful logon following a failure burst</w:t>
            </w:r>
          </w:p>
        </w:tc>
      </w:tr>
      <w:tr>
        <w:tc>
          <w:tcPr>
            <w:tcW w:type="dxa" w:w="2700"/>
            <w:tcMar>
              <w:top w:type="dxa" w:w="60"/>
              <w:left w:type="dxa" w:w="100"/>
              <w:bottom w:type="dxa" w:w="60"/>
              <w:right w:type="dxa" w:w="100"/>
            </w:tcMar>
          </w:tcPr>
          <w:p>
            <w:r>
              <w:rPr>
                <w:b w:val="false"/>
                <w:bCs w:val="false"/>
                <w:color w:val="000000"/>
                <w:sz w:val="19"/>
                <w:szCs w:val="19"/>
              </w:rPr>
              <w:t xml:space="preserve">PowerShell abuse</w:t>
            </w:r>
          </w:p>
        </w:tc>
        <w:tc>
          <w:tcPr>
            <w:tcW w:type="dxa" w:w="2900"/>
            <w:tcMar>
              <w:top w:type="dxa" w:w="60"/>
              <w:left w:type="dxa" w:w="100"/>
              <w:bottom w:type="dxa" w:w="60"/>
              <w:right w:type="dxa" w:w="100"/>
            </w:tcMar>
          </w:tcPr>
          <w:p>
            <w:r>
              <w:rPr>
                <w:b w:val="false"/>
                <w:bCs w:val="false"/>
                <w:color w:val="000000"/>
                <w:sz w:val="19"/>
                <w:szCs w:val="19"/>
              </w:rPr>
              <w:t xml:space="preserve">T1059.001</w:t>
            </w:r>
          </w:p>
        </w:tc>
        <w:tc>
          <w:tcPr>
            <w:tcW w:type="dxa" w:w="3760"/>
            <w:tcMar>
              <w:top w:type="dxa" w:w="60"/>
              <w:left w:type="dxa" w:w="100"/>
              <w:bottom w:type="dxa" w:w="60"/>
              <w:right w:type="dxa" w:w="100"/>
            </w:tcMar>
          </w:tcPr>
          <w:p>
            <w:r>
              <w:rPr>
                <w:b w:val="false"/>
                <w:bCs w:val="false"/>
                <w:color w:val="000000"/>
                <w:sz w:val="19"/>
                <w:szCs w:val="19"/>
              </w:rPr>
              <w:t xml:space="preserve">Encoded commands (decoded from UTF-16), download cradles, hidden windows</w:t>
            </w:r>
          </w:p>
        </w:tc>
      </w:tr>
      <w:tr>
        <w:tc>
          <w:tcPr>
            <w:tcW w:type="dxa" w:w="2700"/>
            <w:shd w:fill="F5F8FB" w:color="auto" w:val="clear"/>
            <w:tcMar>
              <w:top w:type="dxa" w:w="60"/>
              <w:left w:type="dxa" w:w="100"/>
              <w:bottom w:type="dxa" w:w="60"/>
              <w:right w:type="dxa" w:w="100"/>
            </w:tcMar>
          </w:tcPr>
          <w:p>
            <w:r>
              <w:rPr>
                <w:b w:val="false"/>
                <w:bCs w:val="false"/>
                <w:color w:val="000000"/>
                <w:sz w:val="19"/>
                <w:szCs w:val="19"/>
              </w:rPr>
              <w:t xml:space="preserve">Living-off-the-land binaries</w:t>
            </w:r>
          </w:p>
        </w:tc>
        <w:tc>
          <w:tcPr>
            <w:tcW w:type="dxa" w:w="2900"/>
            <w:shd w:fill="F5F8FB" w:color="auto" w:val="clear"/>
            <w:tcMar>
              <w:top w:type="dxa" w:w="60"/>
              <w:left w:type="dxa" w:w="100"/>
              <w:bottom w:type="dxa" w:w="60"/>
              <w:right w:type="dxa" w:w="100"/>
            </w:tcMar>
          </w:tcPr>
          <w:p>
            <w:r>
              <w:rPr>
                <w:b w:val="false"/>
                <w:bCs w:val="false"/>
                <w:color w:val="000000"/>
                <w:sz w:val="19"/>
                <w:szCs w:val="19"/>
              </w:rPr>
              <w:t xml:space="preserve">T1105, T1218.x, T1197, T1047</w:t>
            </w:r>
          </w:p>
        </w:tc>
        <w:tc>
          <w:tcPr>
            <w:tcW w:type="dxa" w:w="3760"/>
            <w:shd w:fill="F5F8FB" w:color="auto" w:val="clear"/>
            <w:tcMar>
              <w:top w:type="dxa" w:w="60"/>
              <w:left w:type="dxa" w:w="100"/>
              <w:bottom w:type="dxa" w:w="60"/>
              <w:right w:type="dxa" w:w="100"/>
            </w:tcMar>
          </w:tcPr>
          <w:p>
            <w:r>
              <w:rPr>
                <w:b w:val="false"/>
                <w:bCs w:val="false"/>
                <w:color w:val="000000"/>
                <w:sz w:val="19"/>
                <w:szCs w:val="19"/>
              </w:rPr>
              <w:t xml:space="preserve">certutil, mshta, rundll32, regsvr32, bitsadmin, wmic and others</w:t>
            </w:r>
          </w:p>
        </w:tc>
      </w:tr>
      <w:tr>
        <w:tc>
          <w:tcPr>
            <w:tcW w:type="dxa" w:w="2700"/>
            <w:tcMar>
              <w:top w:type="dxa" w:w="60"/>
              <w:left w:type="dxa" w:w="100"/>
              <w:bottom w:type="dxa" w:w="60"/>
              <w:right w:type="dxa" w:w="100"/>
            </w:tcMar>
          </w:tcPr>
          <w:p>
            <w:r>
              <w:rPr>
                <w:b w:val="false"/>
                <w:bCs w:val="false"/>
                <w:color w:val="000000"/>
                <w:sz w:val="19"/>
                <w:szCs w:val="19"/>
              </w:rPr>
              <w:t xml:space="preserve">Persistence</w:t>
            </w:r>
          </w:p>
        </w:tc>
        <w:tc>
          <w:tcPr>
            <w:tcW w:type="dxa" w:w="2900"/>
            <w:tcMar>
              <w:top w:type="dxa" w:w="60"/>
              <w:left w:type="dxa" w:w="100"/>
              <w:bottom w:type="dxa" w:w="60"/>
              <w:right w:type="dxa" w:w="100"/>
            </w:tcMar>
          </w:tcPr>
          <w:p>
            <w:r>
              <w:rPr>
                <w:b w:val="false"/>
                <w:bCs w:val="false"/>
                <w:color w:val="000000"/>
                <w:sz w:val="19"/>
                <w:szCs w:val="19"/>
              </w:rPr>
              <w:t xml:space="preserve">T1547.001, T1053.005, T1543.003, T1136.001</w:t>
            </w:r>
          </w:p>
        </w:tc>
        <w:tc>
          <w:tcPr>
            <w:tcW w:type="dxa" w:w="3760"/>
            <w:tcMar>
              <w:top w:type="dxa" w:w="60"/>
              <w:left w:type="dxa" w:w="100"/>
              <w:bottom w:type="dxa" w:w="60"/>
              <w:right w:type="dxa" w:w="100"/>
            </w:tcMar>
          </w:tcPr>
          <w:p>
            <w:r>
              <w:rPr>
                <w:b w:val="false"/>
                <w:bCs w:val="false"/>
                <w:color w:val="000000"/>
                <w:sz w:val="19"/>
                <w:szCs w:val="19"/>
              </w:rPr>
              <w:t xml:space="preserve">Run keys, scheduled tasks, services, new local accounts</w:t>
            </w:r>
          </w:p>
        </w:tc>
      </w:tr>
      <w:tr>
        <w:tc>
          <w:tcPr>
            <w:tcW w:type="dxa" w:w="2700"/>
            <w:shd w:fill="F5F8FB" w:color="auto" w:val="clear"/>
            <w:tcMar>
              <w:top w:type="dxa" w:w="60"/>
              <w:left w:type="dxa" w:w="100"/>
              <w:bottom w:type="dxa" w:w="60"/>
              <w:right w:type="dxa" w:w="100"/>
            </w:tcMar>
          </w:tcPr>
          <w:p>
            <w:r>
              <w:rPr>
                <w:b w:val="false"/>
                <w:bCs w:val="false"/>
                <w:color w:val="000000"/>
                <w:sz w:val="19"/>
                <w:szCs w:val="19"/>
              </w:rPr>
              <w:t xml:space="preserve">Privilege escalation</w:t>
            </w:r>
          </w:p>
        </w:tc>
        <w:tc>
          <w:tcPr>
            <w:tcW w:type="dxa" w:w="2900"/>
            <w:shd w:fill="F5F8FB" w:color="auto" w:val="clear"/>
            <w:tcMar>
              <w:top w:type="dxa" w:w="60"/>
              <w:left w:type="dxa" w:w="100"/>
              <w:bottom w:type="dxa" w:w="60"/>
              <w:right w:type="dxa" w:w="100"/>
            </w:tcMar>
          </w:tcPr>
          <w:p>
            <w:r>
              <w:rPr>
                <w:b w:val="false"/>
                <w:bCs w:val="false"/>
                <w:color w:val="000000"/>
                <w:sz w:val="19"/>
                <w:szCs w:val="19"/>
              </w:rPr>
              <w:t xml:space="preserve">T1098, T1548.002</w:t>
            </w:r>
          </w:p>
        </w:tc>
        <w:tc>
          <w:tcPr>
            <w:tcW w:type="dxa" w:w="3760"/>
            <w:shd w:fill="F5F8FB" w:color="auto" w:val="clear"/>
            <w:tcMar>
              <w:top w:type="dxa" w:w="60"/>
              <w:left w:type="dxa" w:w="100"/>
              <w:bottom w:type="dxa" w:w="60"/>
              <w:right w:type="dxa" w:w="100"/>
            </w:tcMar>
          </w:tcPr>
          <w:p>
            <w:r>
              <w:rPr>
                <w:b w:val="false"/>
                <w:bCs w:val="false"/>
                <w:color w:val="000000"/>
                <w:sz w:val="19"/>
                <w:szCs w:val="19"/>
              </w:rPr>
              <w:t xml:space="preserve">Admin group changes, UAC bypass via registry hijack</w:t>
            </w:r>
          </w:p>
        </w:tc>
      </w:tr>
      <w:tr>
        <w:tc>
          <w:tcPr>
            <w:tcW w:type="dxa" w:w="2700"/>
            <w:tcMar>
              <w:top w:type="dxa" w:w="60"/>
              <w:left w:type="dxa" w:w="100"/>
              <w:bottom w:type="dxa" w:w="60"/>
              <w:right w:type="dxa" w:w="100"/>
            </w:tcMar>
          </w:tcPr>
          <w:p>
            <w:r>
              <w:rPr>
                <w:b w:val="false"/>
                <w:bCs w:val="false"/>
                <w:color w:val="000000"/>
                <w:sz w:val="19"/>
                <w:szCs w:val="19"/>
              </w:rPr>
              <w:t xml:space="preserve">Credential access</w:t>
            </w:r>
          </w:p>
        </w:tc>
        <w:tc>
          <w:tcPr>
            <w:tcW w:type="dxa" w:w="2900"/>
            <w:tcMar>
              <w:top w:type="dxa" w:w="60"/>
              <w:left w:type="dxa" w:w="100"/>
              <w:bottom w:type="dxa" w:w="60"/>
              <w:right w:type="dxa" w:w="100"/>
            </w:tcMar>
          </w:tcPr>
          <w:p>
            <w:r>
              <w:rPr>
                <w:b w:val="false"/>
                <w:bCs w:val="false"/>
                <w:color w:val="000000"/>
                <w:sz w:val="19"/>
                <w:szCs w:val="19"/>
              </w:rPr>
              <w:t xml:space="preserve">T1003.001</w:t>
            </w:r>
          </w:p>
        </w:tc>
        <w:tc>
          <w:tcPr>
            <w:tcW w:type="dxa" w:w="3760"/>
            <w:tcMar>
              <w:top w:type="dxa" w:w="60"/>
              <w:left w:type="dxa" w:w="100"/>
              <w:bottom w:type="dxa" w:w="60"/>
              <w:right w:type="dxa" w:w="100"/>
            </w:tcMar>
          </w:tcPr>
          <w:p>
            <w:r>
              <w:rPr>
                <w:b w:val="false"/>
                <w:bCs w:val="false"/>
                <w:color w:val="000000"/>
                <w:sz w:val="19"/>
                <w:szCs w:val="19"/>
              </w:rPr>
              <w:t xml:space="preserve">LSASS dumping via comsvcs or procdump, suspicious LSASS access</w:t>
            </w:r>
          </w:p>
        </w:tc>
      </w:tr>
      <w:tr>
        <w:tc>
          <w:tcPr>
            <w:tcW w:type="dxa" w:w="2700"/>
            <w:shd w:fill="F5F8FB" w:color="auto" w:val="clear"/>
            <w:tcMar>
              <w:top w:type="dxa" w:w="60"/>
              <w:left w:type="dxa" w:w="100"/>
              <w:bottom w:type="dxa" w:w="60"/>
              <w:right w:type="dxa" w:w="100"/>
            </w:tcMar>
          </w:tcPr>
          <w:p>
            <w:r>
              <w:rPr>
                <w:b w:val="false"/>
                <w:bCs w:val="false"/>
                <w:color w:val="000000"/>
                <w:sz w:val="19"/>
                <w:szCs w:val="19"/>
              </w:rPr>
              <w:t xml:space="preserve">Defense evasion</w:t>
            </w:r>
          </w:p>
        </w:tc>
        <w:tc>
          <w:tcPr>
            <w:tcW w:type="dxa" w:w="2900"/>
            <w:shd w:fill="F5F8FB" w:color="auto" w:val="clear"/>
            <w:tcMar>
              <w:top w:type="dxa" w:w="60"/>
              <w:left w:type="dxa" w:w="100"/>
              <w:bottom w:type="dxa" w:w="60"/>
              <w:right w:type="dxa" w:w="100"/>
            </w:tcMar>
          </w:tcPr>
          <w:p>
            <w:r>
              <w:rPr>
                <w:b w:val="false"/>
                <w:bCs w:val="false"/>
                <w:color w:val="000000"/>
                <w:sz w:val="19"/>
                <w:szCs w:val="19"/>
              </w:rPr>
              <w:t xml:space="preserve">T1070.001, T1562.001, T1490</w:t>
            </w:r>
          </w:p>
        </w:tc>
        <w:tc>
          <w:tcPr>
            <w:tcW w:type="dxa" w:w="3760"/>
            <w:shd w:fill="F5F8FB" w:color="auto" w:val="clear"/>
            <w:tcMar>
              <w:top w:type="dxa" w:w="60"/>
              <w:left w:type="dxa" w:w="100"/>
              <w:bottom w:type="dxa" w:w="60"/>
              <w:right w:type="dxa" w:w="100"/>
            </w:tcMar>
          </w:tcPr>
          <w:p>
            <w:r>
              <w:rPr>
                <w:b w:val="false"/>
                <w:bCs w:val="false"/>
                <w:color w:val="000000"/>
                <w:sz w:val="19"/>
                <w:szCs w:val="19"/>
              </w:rPr>
              <w:t xml:space="preserve">Event log clearing, Defender tampering, shadow copy deletion</w:t>
            </w:r>
          </w:p>
        </w:tc>
      </w:tr>
      <w:tr>
        <w:tc>
          <w:tcPr>
            <w:tcW w:type="dxa" w:w="2700"/>
            <w:tcMar>
              <w:top w:type="dxa" w:w="60"/>
              <w:left w:type="dxa" w:w="100"/>
              <w:bottom w:type="dxa" w:w="60"/>
              <w:right w:type="dxa" w:w="100"/>
            </w:tcMar>
          </w:tcPr>
          <w:p>
            <w:r>
              <w:rPr>
                <w:b w:val="false"/>
                <w:bCs w:val="false"/>
                <w:color w:val="000000"/>
                <w:sz w:val="19"/>
                <w:szCs w:val="19"/>
              </w:rPr>
              <w:t xml:space="preserve">Reconnaissance</w:t>
            </w:r>
          </w:p>
        </w:tc>
        <w:tc>
          <w:tcPr>
            <w:tcW w:type="dxa" w:w="2900"/>
            <w:tcMar>
              <w:top w:type="dxa" w:w="60"/>
              <w:left w:type="dxa" w:w="100"/>
              <w:bottom w:type="dxa" w:w="60"/>
              <w:right w:type="dxa" w:w="100"/>
            </w:tcMar>
          </w:tcPr>
          <w:p>
            <w:r>
              <w:rPr>
                <w:b w:val="false"/>
                <w:bCs w:val="false"/>
                <w:color w:val="000000"/>
                <w:sz w:val="19"/>
                <w:szCs w:val="19"/>
              </w:rPr>
              <w:t xml:space="preserve">T1046, T1595</w:t>
            </w:r>
          </w:p>
        </w:tc>
        <w:tc>
          <w:tcPr>
            <w:tcW w:type="dxa" w:w="3760"/>
            <w:tcMar>
              <w:top w:type="dxa" w:w="60"/>
              <w:left w:type="dxa" w:w="100"/>
              <w:bottom w:type="dxa" w:w="60"/>
              <w:right w:type="dxa" w:w="100"/>
            </w:tcMar>
          </w:tcPr>
          <w:p>
            <w:r>
              <w:rPr>
                <w:b w:val="false"/>
                <w:bCs w:val="false"/>
                <w:color w:val="000000"/>
                <w:sz w:val="19"/>
                <w:szCs w:val="19"/>
              </w:rPr>
              <w:t xml:space="preserve">Vertical and horizontal port scans</w:t>
            </w:r>
          </w:p>
        </w:tc>
      </w:tr>
      <w:tr>
        <w:tc>
          <w:tcPr>
            <w:tcW w:type="dxa" w:w="2700"/>
            <w:shd w:fill="F5F8FB" w:color="auto" w:val="clear"/>
            <w:tcMar>
              <w:top w:type="dxa" w:w="60"/>
              <w:left w:type="dxa" w:w="100"/>
              <w:bottom w:type="dxa" w:w="60"/>
              <w:right w:type="dxa" w:w="100"/>
            </w:tcMar>
          </w:tcPr>
          <w:p>
            <w:r>
              <w:rPr>
                <w:b w:val="false"/>
                <w:bCs w:val="false"/>
                <w:color w:val="000000"/>
                <w:sz w:val="19"/>
                <w:szCs w:val="19"/>
              </w:rPr>
              <w:t xml:space="preserve">Command and control</w:t>
            </w:r>
          </w:p>
        </w:tc>
        <w:tc>
          <w:tcPr>
            <w:tcW w:type="dxa" w:w="2900"/>
            <w:shd w:fill="F5F8FB" w:color="auto" w:val="clear"/>
            <w:tcMar>
              <w:top w:type="dxa" w:w="60"/>
              <w:left w:type="dxa" w:w="100"/>
              <w:bottom w:type="dxa" w:w="60"/>
              <w:right w:type="dxa" w:w="100"/>
            </w:tcMar>
          </w:tcPr>
          <w:p>
            <w:r>
              <w:rPr>
                <w:b w:val="false"/>
                <w:bCs w:val="false"/>
                <w:color w:val="000000"/>
                <w:sz w:val="19"/>
                <w:szCs w:val="19"/>
              </w:rPr>
              <w:t xml:space="preserve">T1071.001, T1571</w:t>
            </w:r>
          </w:p>
        </w:tc>
        <w:tc>
          <w:tcPr>
            <w:tcW w:type="dxa" w:w="3760"/>
            <w:shd w:fill="F5F8FB" w:color="auto" w:val="clear"/>
            <w:tcMar>
              <w:top w:type="dxa" w:w="60"/>
              <w:left w:type="dxa" w:w="100"/>
              <w:bottom w:type="dxa" w:w="60"/>
              <w:right w:type="dxa" w:w="100"/>
            </w:tcMar>
          </w:tcPr>
          <w:p>
            <w:r>
              <w:rPr>
                <w:b w:val="false"/>
                <w:bCs w:val="false"/>
                <w:color w:val="000000"/>
                <w:sz w:val="19"/>
                <w:szCs w:val="19"/>
              </w:rPr>
              <w:t xml:space="preserve">Periodic beaconing (interval regularity and jitter analysis)</w:t>
            </w:r>
          </w:p>
        </w:tc>
      </w:tr>
      <w:tr>
        <w:tc>
          <w:tcPr>
            <w:tcW w:type="dxa" w:w="2700"/>
            <w:tcMar>
              <w:top w:type="dxa" w:w="60"/>
              <w:left w:type="dxa" w:w="100"/>
              <w:bottom w:type="dxa" w:w="60"/>
              <w:right w:type="dxa" w:w="100"/>
            </w:tcMar>
          </w:tcPr>
          <w:p>
            <w:r>
              <w:rPr>
                <w:b w:val="false"/>
                <w:bCs w:val="false"/>
                <w:color w:val="000000"/>
                <w:sz w:val="19"/>
                <w:szCs w:val="19"/>
              </w:rPr>
              <w:t xml:space="preserve">Exfiltration</w:t>
            </w:r>
          </w:p>
        </w:tc>
        <w:tc>
          <w:tcPr>
            <w:tcW w:type="dxa" w:w="2900"/>
            <w:tcMar>
              <w:top w:type="dxa" w:w="60"/>
              <w:left w:type="dxa" w:w="100"/>
              <w:bottom w:type="dxa" w:w="60"/>
              <w:right w:type="dxa" w:w="100"/>
            </w:tcMar>
          </w:tcPr>
          <w:p>
            <w:r>
              <w:rPr>
                <w:b w:val="false"/>
                <w:bCs w:val="false"/>
                <w:color w:val="000000"/>
                <w:sz w:val="19"/>
                <w:szCs w:val="19"/>
              </w:rPr>
              <w:t xml:space="preserve">T1041, T1048, T1567.002</w:t>
            </w:r>
          </w:p>
        </w:tc>
        <w:tc>
          <w:tcPr>
            <w:tcW w:type="dxa" w:w="3760"/>
            <w:tcMar>
              <w:top w:type="dxa" w:w="60"/>
              <w:left w:type="dxa" w:w="100"/>
              <w:bottom w:type="dxa" w:w="60"/>
              <w:right w:type="dxa" w:w="100"/>
            </w:tcMar>
          </w:tcPr>
          <w:p>
            <w:r>
              <w:rPr>
                <w:b w:val="false"/>
                <w:bCs w:val="false"/>
                <w:color w:val="000000"/>
                <w:sz w:val="19"/>
                <w:szCs w:val="19"/>
              </w:rPr>
              <w:t xml:space="preserve">Large outbound transfers to external hosts, rclone uploads</w:t>
            </w:r>
          </w:p>
        </w:tc>
      </w:tr>
    </w:tbl>
    <w:p>
      <w:pPr>
        <w:spacing w:after="160" w:line="300"/>
      </w:pPr>
      <w:r>
        <w:t xml:space="preserve"/>
      </w:r>
    </w:p>
    <w:p>
      <w:pPr>
        <w:pStyle w:val="Heading1"/>
      </w:pPr>
      <w:r>
        <w:t xml:space="preserve">5. Sample dataset</w:t>
      </w:r>
    </w:p>
    <w:p>
      <w:pPr>
        <w:spacing w:after="160" w:line="300"/>
      </w:pPr>
      <w:r>
        <w:t xml:space="preserve">The sample dataset is synthetic. It is generated by scripts/generate_sample_data.py, so it can be reproduced with a fixed seed. It contains two multi-stage attacks mixed with routine activity:</w:t>
      </w:r>
    </w:p>
    <w:p>
      <w:pPr>
        <w:pStyle w:val="ListParagraph"/>
        <w:numPr>
          <w:ilvl w:val="0"/>
          <w:numId w:val="3"/>
        </w:numPr>
        <w:spacing w:after="80"/>
      </w:pPr>
      <w:r>
        <w:rPr>
          <w:b/>
          <w:bCs/>
        </w:rPr>
        <w:t xml:space="preserve">Scenario A (WS-FIN-07): </w:t>
      </w:r>
      <w:r>
        <w:t xml:space="preserve">an external port scan, an RDP brute force that succeeds, an encoded PowerShell cradle, a certutil download, a Run-key and scheduled-task persistence, a new administrator account, C2 beaconing, an LSASS dump, data staged in an archive and exfiltrated, and finally the Security log cleared.</w:t>
      </w:r>
    </w:p>
    <w:p>
      <w:pPr>
        <w:pStyle w:val="ListParagraph"/>
        <w:numPr>
          <w:ilvl w:val="0"/>
          <w:numId w:val="3"/>
        </w:numPr>
        <w:spacing w:after="80"/>
      </w:pPr>
      <w:r>
        <w:rPr>
          <w:b/>
          <w:bCs/>
        </w:rPr>
        <w:t xml:space="preserve">Scenario B (WS-HR-02): </w:t>
      </w:r>
      <w:r>
        <w:t xml:space="preserve">a malicious Office document that launches mshta, a PowerShell download, a rundll32 DLL load, a fodhelper UAC bypass, and HTTPS beaconing.</w:t>
      </w:r>
    </w:p>
    <w:p>
      <w:pPr>
        <w:pStyle w:val="ListParagraph"/>
        <w:numPr>
          <w:ilvl w:val="0"/>
          <w:numId w:val="3"/>
        </w:numPr>
        <w:spacing w:after="80"/>
      </w:pPr>
      <w:r>
        <w:rPr>
          <w:b/>
          <w:bCs/>
        </w:rPr>
        <w:t xml:space="preserve">Benign activity: </w:t>
      </w:r>
      <w:r>
        <w:t xml:space="preserve">normal logons, browsing, Microsoft updates, a legitimate admin script, a scheduled backup and a few password typos below the brute-force threshold. These test the false-positive controls.</w:t>
      </w:r>
    </w:p>
    <w:p>
      <w:r>
        <w:br w:type="page"/>
      </w:r>
    </w:p>
    <w:p>
      <w:pPr>
        <w:pStyle w:val="Heading1"/>
      </w:pPr>
      <w:r>
        <w:t xml:space="preserve">6. The working application</w:t>
      </w:r>
    </w:p>
    <w:p>
      <w:pPr>
        <w:spacing w:after="160" w:line="300"/>
      </w:pPr>
      <w:r>
        <w:t xml:space="preserve">The following screenshots were captured from the running application after loading the sample dataset. Each one corresponds to a sidebar view.</w:t>
      </w:r>
    </w:p>
    <w:p>
      <w:pPr>
        <w:pStyle w:val="Heading2"/>
      </w:pPr>
      <w:r>
        <w:t xml:space="preserve">6.1  Start screen</w:t>
      </w:r>
    </w:p>
    <w:p>
      <w:pPr>
        <w:keepNext/>
        <w:spacing w:after="80" w:before="200"/>
        <w:jc w:val="center"/>
      </w:pPr>
      <w:r>
        <w:drawing>
          <wp:inline distT="0" distB="0" distL="0" distR="0">
            <wp:extent cx="5943600" cy="3714750"/>
            <wp:effectExtent t="0" r="0" b="0" l="0"/>
            <wp:docPr id="1" name="Start screen before any evidence is loaded" descr="Start screen before any evidence is loaded" title="Start screen before any evidence is lo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14750"/>
                    </a:xfrm>
                    <a:prstGeom prst="rect">
                      <a:avLst/>
                    </a:prstGeom>
                  </pic:spPr>
                </pic:pic>
              </a:graphicData>
            </a:graphic>
          </wp:inline>
        </w:drawing>
      </w:r>
    </w:p>
    <w:p>
      <w:pPr>
        <w:spacing w:after="280"/>
        <w:jc w:val="center"/>
      </w:pPr>
      <w:r>
        <w:rPr>
          <w:i/>
          <w:iCs/>
          <w:color w:val="595959"/>
          <w:sz w:val="18"/>
          <w:szCs w:val="18"/>
        </w:rPr>
        <w:t xml:space="preserve">Figure 1. Start screen before any evidence is loaded</w:t>
      </w:r>
    </w:p>
    <w:p>
      <w:pPr>
        <w:pStyle w:val="Heading2"/>
      </w:pPr>
      <w:r>
        <w:t xml:space="preserve">6.2  Overview</w:t>
      </w:r>
    </w:p>
    <w:p>
      <w:pPr>
        <w:keepNext/>
        <w:spacing w:after="80" w:before="200"/>
        <w:jc w:val="center"/>
      </w:pPr>
      <w:r>
        <w:drawing>
          <wp:inline distT="0" distB="0" distL="0" distR="0">
            <wp:extent cx="5943600" cy="3714750"/>
            <wp:effectExtent t="0" r="0" b="0" l="0"/>
            <wp:docPr id="2" name="Overview: risk score, key counts, plain-language summary, event timeline and detection charts" descr="Overview: risk score, key counts, plain-language summary, event timeline and detection charts" title="Overview: risk score, key counts, plain-language summary, event timeline and detection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714750"/>
                    </a:xfrm>
                    <a:prstGeom prst="rect">
                      <a:avLst/>
                    </a:prstGeom>
                  </pic:spPr>
                </pic:pic>
              </a:graphicData>
            </a:graphic>
          </wp:inline>
        </w:drawing>
      </w:r>
    </w:p>
    <w:p>
      <w:pPr>
        <w:spacing w:after="280"/>
        <w:jc w:val="center"/>
      </w:pPr>
      <w:r>
        <w:rPr>
          <w:i/>
          <w:iCs/>
          <w:color w:val="595959"/>
          <w:sz w:val="18"/>
          <w:szCs w:val="18"/>
        </w:rPr>
        <w:t xml:space="preserve">Figure 2. Overview: risk score, key counts, plain-language summary, event timeline and detection charts</w:t>
      </w:r>
    </w:p>
    <w:p>
      <w:pPr>
        <w:pStyle w:val="Heading2"/>
      </w:pPr>
      <w:r>
        <w:t xml:space="preserve">6.3  Incidents &amp; Chains</w:t>
      </w:r>
    </w:p>
    <w:p>
      <w:pPr>
        <w:keepNext/>
        <w:spacing w:after="80" w:before="200"/>
        <w:jc w:val="center"/>
      </w:pPr>
      <w:r>
        <w:drawing>
          <wp:inline distT="0" distB="0" distL="0" distR="0">
            <wp:extent cx="5943600" cy="3714750"/>
            <wp:effectExtent t="0" r="0" b="0" l="0"/>
            <wp:docPr id="3" name="Incidents and attack chains: INC-001 with a chain of 18 steps, linkage reasons and the score breakdown" descr="Incidents and attack chains: INC-001 with a chain of 18 steps, linkage reasons and the score breakdown" title="Incidents and attack chains: INC-001 with a chain of 18 steps, linkage reasons and the score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14750"/>
                    </a:xfrm>
                    <a:prstGeom prst="rect">
                      <a:avLst/>
                    </a:prstGeom>
                  </pic:spPr>
                </pic:pic>
              </a:graphicData>
            </a:graphic>
          </wp:inline>
        </w:drawing>
      </w:r>
    </w:p>
    <w:p>
      <w:pPr>
        <w:spacing w:after="280"/>
        <w:jc w:val="center"/>
      </w:pPr>
      <w:r>
        <w:rPr>
          <w:i/>
          <w:iCs/>
          <w:color w:val="595959"/>
          <w:sz w:val="18"/>
          <w:szCs w:val="18"/>
        </w:rPr>
        <w:t xml:space="preserve">Figure 3. Incidents and attack chains: INC-001 with a chain of 18 steps, linkage reasons and the score breakdown</w:t>
      </w:r>
    </w:p>
    <w:p>
      <w:pPr>
        <w:pStyle w:val="Heading2"/>
      </w:pPr>
      <w:r>
        <w:t xml:space="preserve">6.4  Timeline</w:t>
      </w:r>
    </w:p>
    <w:p>
      <w:pPr>
        <w:keepNext/>
        <w:spacing w:after="80" w:before="200"/>
        <w:jc w:val="center"/>
      </w:pPr>
      <w:r>
        <w:drawing>
          <wp:inline distT="0" distB="0" distL="0" distR="0">
            <wp:extent cx="5943600" cy="3714750"/>
            <wp:effectExtent t="0" r="0" b="0" l="0"/>
            <wp:docPr id="4" name="Timeline: events plotted by severity with host, source and text filters" descr="Timeline: events plotted by severity with host, source and text filters" title="Timeline: events plotted by severity with host, source and text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14750"/>
                    </a:xfrm>
                    <a:prstGeom prst="rect">
                      <a:avLst/>
                    </a:prstGeom>
                  </pic:spPr>
                </pic:pic>
              </a:graphicData>
            </a:graphic>
          </wp:inline>
        </w:drawing>
      </w:r>
    </w:p>
    <w:p>
      <w:pPr>
        <w:spacing w:after="280"/>
        <w:jc w:val="center"/>
      </w:pPr>
      <w:r>
        <w:rPr>
          <w:i/>
          <w:iCs/>
          <w:color w:val="595959"/>
          <w:sz w:val="18"/>
          <w:szCs w:val="18"/>
        </w:rPr>
        <w:t xml:space="preserve">Figure 4. Timeline: events plotted by severity with host, source and text filters</w:t>
      </w:r>
    </w:p>
    <w:p>
      <w:pPr>
        <w:pStyle w:val="Heading2"/>
      </w:pPr>
      <w:r>
        <w:t xml:space="preserve">6.5  Process Trees</w:t>
      </w:r>
    </w:p>
    <w:p>
      <w:pPr>
        <w:keepNext/>
        <w:spacing w:after="80" w:before="200"/>
        <w:jc w:val="center"/>
      </w:pPr>
      <w:r>
        <w:drawing>
          <wp:inline distT="0" distB="0" distL="0" distR="0">
            <wp:extent cx="5943600" cy="3714750"/>
            <wp:effectExtent t="0" r="0" b="0" l="0"/>
            <wp:docPr id="5" name="Process tree for WS-FIN-07: flagged processes are coloured by severity, and inferred parents are marked" descr="Process tree for WS-FIN-07: flagged processes are coloured by severity, and inferred parents are marked" title="Process tree for WS-FIN-07: flagged processes are coloured by severity, and inferred parents are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714750"/>
                    </a:xfrm>
                    <a:prstGeom prst="rect">
                      <a:avLst/>
                    </a:prstGeom>
                  </pic:spPr>
                </pic:pic>
              </a:graphicData>
            </a:graphic>
          </wp:inline>
        </w:drawing>
      </w:r>
    </w:p>
    <w:p>
      <w:pPr>
        <w:spacing w:after="280"/>
        <w:jc w:val="center"/>
      </w:pPr>
      <w:r>
        <w:rPr>
          <w:i/>
          <w:iCs/>
          <w:color w:val="595959"/>
          <w:sz w:val="18"/>
          <w:szCs w:val="18"/>
        </w:rPr>
        <w:t xml:space="preserve">Figure 5. Process tree for WS-FIN-07: flagged processes are coloured by severity, and inferred parents are marked</w:t>
      </w:r>
    </w:p>
    <w:p>
      <w:pPr>
        <w:pStyle w:val="Heading2"/>
      </w:pPr>
      <w:r>
        <w:t xml:space="preserve">6.6  MITRE ATT&amp;CK</w:t>
      </w:r>
    </w:p>
    <w:p>
      <w:pPr>
        <w:keepNext/>
        <w:spacing w:after="80" w:before="200"/>
        <w:jc w:val="center"/>
      </w:pPr>
      <w:r>
        <w:drawing>
          <wp:inline distT="0" distB="0" distL="0" distR="0">
            <wp:extent cx="5943600" cy="3714750"/>
            <wp:effectExtent t="0" r="0" b="0" l="0"/>
            <wp:docPr id="6" name="MITRE ATT&amp;CK coverage matrix: observed techniques by tactic, coloured by highest severity" descr="MITRE ATT&amp;CK coverage matrix: observed techniques by tactic, coloured by highest severity" title="MITRE ATT&amp;CK coverage matrix: observed techniques by tactic, coloured by highest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714750"/>
                    </a:xfrm>
                    <a:prstGeom prst="rect">
                      <a:avLst/>
                    </a:prstGeom>
                  </pic:spPr>
                </pic:pic>
              </a:graphicData>
            </a:graphic>
          </wp:inline>
        </w:drawing>
      </w:r>
    </w:p>
    <w:p>
      <w:pPr>
        <w:spacing w:after="280"/>
        <w:jc w:val="center"/>
      </w:pPr>
      <w:r>
        <w:rPr>
          <w:i/>
          <w:iCs/>
          <w:color w:val="595959"/>
          <w:sz w:val="18"/>
          <w:szCs w:val="18"/>
        </w:rPr>
        <w:t xml:space="preserve">Figure 6. MITRE ATT&amp;CK coverage matrix: observed techniques by tactic, coloured by highest severity</w:t>
      </w:r>
    </w:p>
    <w:p>
      <w:pPr>
        <w:pStyle w:val="Heading2"/>
      </w:pPr>
      <w:r>
        <w:t xml:space="preserve">6.7  IOCs</w:t>
      </w:r>
    </w:p>
    <w:p>
      <w:pPr>
        <w:keepNext/>
        <w:spacing w:after="80" w:before="200"/>
        <w:jc w:val="center"/>
      </w:pPr>
      <w:r>
        <w:drawing>
          <wp:inline distT="0" distB="0" distL="0" distR="0">
            <wp:extent cx="5943600" cy="3714750"/>
            <wp:effectExtent t="0" r="0" b="0" l="0"/>
            <wp:docPr id="7" name="Indicators of Compromise: scoped table with first and last seen times, hit counts and attack links" descr="Indicators of Compromise: scoped table with first and last seen times, hit counts and attack links" title="Indicators of Compromise: scoped table with first and last seen times, hit counts and attack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714750"/>
                    </a:xfrm>
                    <a:prstGeom prst="rect">
                      <a:avLst/>
                    </a:prstGeom>
                  </pic:spPr>
                </pic:pic>
              </a:graphicData>
            </a:graphic>
          </wp:inline>
        </w:drawing>
      </w:r>
    </w:p>
    <w:p>
      <w:pPr>
        <w:spacing w:after="280"/>
        <w:jc w:val="center"/>
      </w:pPr>
      <w:r>
        <w:rPr>
          <w:i/>
          <w:iCs/>
          <w:color w:val="595959"/>
          <w:sz w:val="18"/>
          <w:szCs w:val="18"/>
        </w:rPr>
        <w:t xml:space="preserve">Figure 7. Indicators of Compromise: scoped table with first and last seen times, hit counts and attack links</w:t>
      </w:r>
    </w:p>
    <w:p>
      <w:pPr>
        <w:pStyle w:val="Heading2"/>
      </w:pPr>
      <w:r>
        <w:t xml:space="preserve">6.8  Evidence &amp; Reports</w:t>
      </w:r>
    </w:p>
    <w:p>
      <w:pPr>
        <w:keepNext/>
        <w:spacing w:after="80" w:before="200"/>
        <w:jc w:val="center"/>
      </w:pPr>
      <w:r>
        <w:drawing>
          <wp:inline distT="0" distB="0" distL="0" distR="0">
            <wp:extent cx="5943600" cy="3714750"/>
            <wp:effectExtent t="0" r="0" b="0" l="0"/>
            <wp:docPr id="8" name="Evidence and reports: parser results per file, with downloads for the ZIP bundle, JSON and CSV" descr="Evidence and reports: parser results per file, with downloads for the ZIP bundle, JSON and CSV" title="Evidence and reports: parser results per file, with downloads for the ZIP bundle, JSON and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714750"/>
                    </a:xfrm>
                    <a:prstGeom prst="rect">
                      <a:avLst/>
                    </a:prstGeom>
                  </pic:spPr>
                </pic:pic>
              </a:graphicData>
            </a:graphic>
          </wp:inline>
        </w:drawing>
      </w:r>
    </w:p>
    <w:p>
      <w:pPr>
        <w:spacing w:after="280"/>
        <w:jc w:val="center"/>
      </w:pPr>
      <w:r>
        <w:rPr>
          <w:i/>
          <w:iCs/>
          <w:color w:val="595959"/>
          <w:sz w:val="18"/>
          <w:szCs w:val="18"/>
        </w:rPr>
        <w:t xml:space="preserve">Figure 8. Evidence and reports: parser results per file, with downloads for the ZIP bundle, JSON and CSV</w:t>
      </w:r>
    </w:p>
    <w:p>
      <w:r>
        <w:br w:type="page"/>
      </w:r>
    </w:p>
    <w:p>
      <w:pPr>
        <w:pStyle w:val="Heading1"/>
      </w:pPr>
      <w:r>
        <w:t xml:space="preserve">7. Outputs</w:t>
      </w:r>
    </w:p>
    <w:p>
      <w:pPr>
        <w:spacing w:after="160" w:line="300"/>
      </w:pPr>
      <w:r>
        <w:t xml:space="preserve">Every analysis can be exported in several formats. Each one is designed for a different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00"/>
        <w:gridCol w:w="2260"/>
      </w:tblGrid>
      <w:tr>
        <w:trPr>
          <w:tblHeader/>
        </w:trPr>
        <w:tc>
          <w:tcPr>
            <w:tcW w:type="dxa" w:w="2200"/>
            <w:shd w:fill="1F4E79" w:color="auto" w:val="clear"/>
            <w:tcMar>
              <w:top w:type="dxa" w:w="60"/>
              <w:left w:type="dxa" w:w="100"/>
              <w:bottom w:type="dxa" w:w="60"/>
              <w:right w:type="dxa" w:w="100"/>
            </w:tcMar>
          </w:tcPr>
          <w:p>
            <w:r>
              <w:rPr>
                <w:b/>
                <w:bCs/>
                <w:color w:val="FFFFFF"/>
                <w:sz w:val="19"/>
                <w:szCs w:val="19"/>
              </w:rPr>
              <w:t xml:space="preserve">Output</w:t>
            </w:r>
          </w:p>
        </w:tc>
        <w:tc>
          <w:tcPr>
            <w:tcW w:type="dxa" w:w="4900"/>
            <w:shd w:fill="1F4E79" w:color="auto" w:val="clear"/>
            <w:tcMar>
              <w:top w:type="dxa" w:w="60"/>
              <w:left w:type="dxa" w:w="100"/>
              <w:bottom w:type="dxa" w:w="60"/>
              <w:right w:type="dxa" w:w="100"/>
            </w:tcMar>
          </w:tcPr>
          <w:p>
            <w:r>
              <w:rPr>
                <w:b/>
                <w:bCs/>
                <w:color w:val="FFFFFF"/>
                <w:sz w:val="19"/>
                <w:szCs w:val="19"/>
              </w:rPr>
              <w:t xml:space="preserve">Contents</w:t>
            </w:r>
          </w:p>
        </w:tc>
        <w:tc>
          <w:tcPr>
            <w:tcW w:type="dxa" w:w="2260"/>
            <w:shd w:fill="1F4E79" w:color="auto" w:val="clear"/>
            <w:tcMar>
              <w:top w:type="dxa" w:w="60"/>
              <w:left w:type="dxa" w:w="100"/>
              <w:bottom w:type="dxa" w:w="60"/>
              <w:right w:type="dxa" w:w="100"/>
            </w:tcMar>
          </w:tcPr>
          <w:p>
            <w:r>
              <w:rPr>
                <w:b/>
                <w:bCs/>
                <w:color w:val="FFFFFF"/>
                <w:sz w:val="19"/>
                <w:szCs w:val="19"/>
              </w:rPr>
              <w:t xml:space="preserve">Audience</w:t>
            </w:r>
          </w:p>
        </w:tc>
      </w:tr>
      <w:tr>
        <w:tc>
          <w:tcPr>
            <w:tcW w:type="dxa" w:w="2200"/>
            <w:tcMar>
              <w:top w:type="dxa" w:w="60"/>
              <w:left w:type="dxa" w:w="100"/>
              <w:bottom w:type="dxa" w:w="60"/>
              <w:right w:type="dxa" w:w="100"/>
            </w:tcMar>
          </w:tcPr>
          <w:p>
            <w:r>
              <w:rPr>
                <w:b w:val="false"/>
                <w:bCs w:val="false"/>
                <w:color w:val="000000"/>
                <w:sz w:val="19"/>
                <w:szCs w:val="19"/>
              </w:rPr>
              <w:t xml:space="preserve">Report (JSON)</w:t>
            </w:r>
          </w:p>
        </w:tc>
        <w:tc>
          <w:tcPr>
            <w:tcW w:type="dxa" w:w="4900"/>
            <w:tcMar>
              <w:top w:type="dxa" w:w="60"/>
              <w:left w:type="dxa" w:w="100"/>
              <w:bottom w:type="dxa" w:w="60"/>
              <w:right w:type="dxa" w:w="100"/>
            </w:tcMar>
          </w:tcPr>
          <w:p>
            <w:r>
              <w:rPr>
                <w:b w:val="false"/>
                <w:bCs w:val="false"/>
                <w:color w:val="000000"/>
                <w:sz w:val="19"/>
                <w:szCs w:val="19"/>
              </w:rPr>
              <w:t xml:space="preserve">Executive summary, incidents, attack chains, detections, MITRE mappings, IOCs, process trees, recommendations, timeline</w:t>
            </w:r>
          </w:p>
        </w:tc>
        <w:tc>
          <w:tcPr>
            <w:tcW w:type="dxa" w:w="2260"/>
            <w:tcMar>
              <w:top w:type="dxa" w:w="60"/>
              <w:left w:type="dxa" w:w="100"/>
              <w:bottom w:type="dxa" w:w="60"/>
              <w:right w:type="dxa" w:w="100"/>
            </w:tcMar>
          </w:tcPr>
          <w:p>
            <w:r>
              <w:rPr>
                <w:b w:val="false"/>
                <w:bCs w:val="false"/>
                <w:color w:val="000000"/>
                <w:sz w:val="19"/>
                <w:szCs w:val="19"/>
              </w:rPr>
              <w:t xml:space="preserve">Tooling and integration</w:t>
            </w:r>
          </w:p>
        </w:tc>
      </w:tr>
      <w:tr>
        <w:tc>
          <w:tcPr>
            <w:tcW w:type="dxa" w:w="2200"/>
            <w:shd w:fill="F5F8FB" w:color="auto" w:val="clear"/>
            <w:tcMar>
              <w:top w:type="dxa" w:w="60"/>
              <w:left w:type="dxa" w:w="100"/>
              <w:bottom w:type="dxa" w:w="60"/>
              <w:right w:type="dxa" w:w="100"/>
            </w:tcMar>
          </w:tcPr>
          <w:p>
            <w:r>
              <w:rPr>
                <w:b w:val="false"/>
                <w:bCs w:val="false"/>
                <w:color w:val="000000"/>
                <w:sz w:val="19"/>
                <w:szCs w:val="19"/>
              </w:rPr>
              <w:t xml:space="preserve">Incidents (CSV)</w:t>
            </w:r>
          </w:p>
        </w:tc>
        <w:tc>
          <w:tcPr>
            <w:tcW w:type="dxa" w:w="4900"/>
            <w:shd w:fill="F5F8FB" w:color="auto" w:val="clear"/>
            <w:tcMar>
              <w:top w:type="dxa" w:w="60"/>
              <w:left w:type="dxa" w:w="100"/>
              <w:bottom w:type="dxa" w:w="60"/>
              <w:right w:type="dxa" w:w="100"/>
            </w:tcMar>
          </w:tcPr>
          <w:p>
            <w:r>
              <w:rPr>
                <w:b w:val="false"/>
                <w:bCs w:val="false"/>
                <w:color w:val="000000"/>
                <w:sz w:val="19"/>
                <w:szCs w:val="19"/>
              </w:rPr>
              <w:t xml:space="preserve">One row per incident: severity, score, hosts, users, tactics, techniques, explanation, recommendations</w:t>
            </w:r>
          </w:p>
        </w:tc>
        <w:tc>
          <w:tcPr>
            <w:tcW w:type="dxa" w:w="2260"/>
            <w:shd w:fill="F5F8FB" w:color="auto" w:val="clear"/>
            <w:tcMar>
              <w:top w:type="dxa" w:w="60"/>
              <w:left w:type="dxa" w:w="100"/>
              <w:bottom w:type="dxa" w:w="60"/>
              <w:right w:type="dxa" w:w="100"/>
            </w:tcMar>
          </w:tcPr>
          <w:p>
            <w:r>
              <w:rPr>
                <w:b w:val="false"/>
                <w:bCs w:val="false"/>
                <w:color w:val="000000"/>
                <w:sz w:val="19"/>
                <w:szCs w:val="19"/>
              </w:rPr>
              <w:t xml:space="preserve">Management and tracking</w:t>
            </w:r>
          </w:p>
        </w:tc>
      </w:tr>
      <w:tr>
        <w:tc>
          <w:tcPr>
            <w:tcW w:type="dxa" w:w="2200"/>
            <w:tcMar>
              <w:top w:type="dxa" w:w="60"/>
              <w:left w:type="dxa" w:w="100"/>
              <w:bottom w:type="dxa" w:w="60"/>
              <w:right w:type="dxa" w:w="100"/>
            </w:tcMar>
          </w:tcPr>
          <w:p>
            <w:r>
              <w:rPr>
                <w:b w:val="false"/>
                <w:bCs w:val="false"/>
                <w:color w:val="000000"/>
                <w:sz w:val="19"/>
                <w:szCs w:val="19"/>
              </w:rPr>
              <w:t xml:space="preserve">Attack chains (CSV)</w:t>
            </w:r>
          </w:p>
        </w:tc>
        <w:tc>
          <w:tcPr>
            <w:tcW w:type="dxa" w:w="4900"/>
            <w:tcMar>
              <w:top w:type="dxa" w:w="60"/>
              <w:left w:type="dxa" w:w="100"/>
              <w:bottom w:type="dxa" w:w="60"/>
              <w:right w:type="dxa" w:w="100"/>
            </w:tcMar>
          </w:tcPr>
          <w:p>
            <w:r>
              <w:rPr>
                <w:b w:val="false"/>
                <w:bCs w:val="false"/>
                <w:color w:val="000000"/>
                <w:sz w:val="19"/>
                <w:szCs w:val="19"/>
              </w:rPr>
              <w:t xml:space="preserve">One row per chain step with the linkage reason and evidence references</w:t>
            </w:r>
          </w:p>
        </w:tc>
        <w:tc>
          <w:tcPr>
            <w:tcW w:type="dxa" w:w="2260"/>
            <w:tcMar>
              <w:top w:type="dxa" w:w="60"/>
              <w:left w:type="dxa" w:w="100"/>
              <w:bottom w:type="dxa" w:w="60"/>
              <w:right w:type="dxa" w:w="100"/>
            </w:tcMar>
          </w:tcPr>
          <w:p>
            <w:r>
              <w:rPr>
                <w:b w:val="false"/>
                <w:bCs w:val="false"/>
                <w:color w:val="000000"/>
                <w:sz w:val="19"/>
                <w:szCs w:val="19"/>
              </w:rPr>
              <w:t xml:space="preserve">Investigators</w:t>
            </w:r>
          </w:p>
        </w:tc>
      </w:tr>
      <w:tr>
        <w:tc>
          <w:tcPr>
            <w:tcW w:type="dxa" w:w="2200"/>
            <w:shd w:fill="F5F8FB" w:color="auto" w:val="clear"/>
            <w:tcMar>
              <w:top w:type="dxa" w:w="60"/>
              <w:left w:type="dxa" w:w="100"/>
              <w:bottom w:type="dxa" w:w="60"/>
              <w:right w:type="dxa" w:w="100"/>
            </w:tcMar>
          </w:tcPr>
          <w:p>
            <w:r>
              <w:rPr>
                <w:b w:val="false"/>
                <w:bCs w:val="false"/>
                <w:color w:val="000000"/>
                <w:sz w:val="19"/>
                <w:szCs w:val="19"/>
              </w:rPr>
              <w:t xml:space="preserve">Detections (CSV)</w:t>
            </w:r>
          </w:p>
        </w:tc>
        <w:tc>
          <w:tcPr>
            <w:tcW w:type="dxa" w:w="4900"/>
            <w:shd w:fill="F5F8FB" w:color="auto" w:val="clear"/>
            <w:tcMar>
              <w:top w:type="dxa" w:w="60"/>
              <w:left w:type="dxa" w:w="100"/>
              <w:bottom w:type="dxa" w:w="60"/>
              <w:right w:type="dxa" w:w="100"/>
            </w:tcMar>
          </w:tcPr>
          <w:p>
            <w:r>
              <w:rPr>
                <w:b w:val="false"/>
                <w:bCs w:val="false"/>
                <w:color w:val="000000"/>
                <w:sz w:val="19"/>
                <w:szCs w:val="19"/>
              </w:rPr>
              <w:t xml:space="preserve">One row per detection with confidence, score, entities and event IDs</w:t>
            </w:r>
          </w:p>
        </w:tc>
        <w:tc>
          <w:tcPr>
            <w:tcW w:type="dxa" w:w="2260"/>
            <w:shd w:fill="F5F8FB" w:color="auto" w:val="clear"/>
            <w:tcMar>
              <w:top w:type="dxa" w:w="60"/>
              <w:left w:type="dxa" w:w="100"/>
              <w:bottom w:type="dxa" w:w="60"/>
              <w:right w:type="dxa" w:w="100"/>
            </w:tcMar>
          </w:tcPr>
          <w:p>
            <w:r>
              <w:rPr>
                <w:b w:val="false"/>
                <w:bCs w:val="false"/>
                <w:color w:val="000000"/>
                <w:sz w:val="19"/>
                <w:szCs w:val="19"/>
              </w:rPr>
              <w:t xml:space="preserve">Analysts</w:t>
            </w:r>
          </w:p>
        </w:tc>
      </w:tr>
      <w:tr>
        <w:tc>
          <w:tcPr>
            <w:tcW w:type="dxa" w:w="2200"/>
            <w:tcMar>
              <w:top w:type="dxa" w:w="60"/>
              <w:left w:type="dxa" w:w="100"/>
              <w:bottom w:type="dxa" w:w="60"/>
              <w:right w:type="dxa" w:w="100"/>
            </w:tcMar>
          </w:tcPr>
          <w:p>
            <w:r>
              <w:rPr>
                <w:b w:val="false"/>
                <w:bCs w:val="false"/>
                <w:color w:val="000000"/>
                <w:sz w:val="19"/>
                <w:szCs w:val="19"/>
              </w:rPr>
              <w:t xml:space="preserve">IOCs (CSV)</w:t>
            </w:r>
          </w:p>
        </w:tc>
        <w:tc>
          <w:tcPr>
            <w:tcW w:type="dxa" w:w="4900"/>
            <w:tcMar>
              <w:top w:type="dxa" w:w="60"/>
              <w:left w:type="dxa" w:w="100"/>
              <w:bottom w:type="dxa" w:w="60"/>
              <w:right w:type="dxa" w:w="100"/>
            </w:tcMar>
          </w:tcPr>
          <w:p>
            <w:r>
              <w:rPr>
                <w:b w:val="false"/>
                <w:bCs w:val="false"/>
                <w:color w:val="000000"/>
                <w:sz w:val="19"/>
                <w:szCs w:val="19"/>
              </w:rPr>
              <w:t xml:space="preserve">Deduplicated IOCs with scope, first and last seen times, hits and related techniques</w:t>
            </w:r>
          </w:p>
        </w:tc>
        <w:tc>
          <w:tcPr>
            <w:tcW w:type="dxa" w:w="2260"/>
            <w:tcMar>
              <w:top w:type="dxa" w:w="60"/>
              <w:left w:type="dxa" w:w="100"/>
              <w:bottom w:type="dxa" w:w="60"/>
              <w:right w:type="dxa" w:w="100"/>
            </w:tcMar>
          </w:tcPr>
          <w:p>
            <w:r>
              <w:rPr>
                <w:b w:val="false"/>
                <w:bCs w:val="false"/>
                <w:color w:val="000000"/>
                <w:sz w:val="19"/>
                <w:szCs w:val="19"/>
              </w:rPr>
              <w:t xml:space="preserve">Blocking and hunting teams</w:t>
            </w:r>
          </w:p>
        </w:tc>
      </w:tr>
      <w:tr>
        <w:tc>
          <w:tcPr>
            <w:tcW w:type="dxa" w:w="2200"/>
            <w:shd w:fill="F5F8FB" w:color="auto" w:val="clear"/>
            <w:tcMar>
              <w:top w:type="dxa" w:w="60"/>
              <w:left w:type="dxa" w:w="100"/>
              <w:bottom w:type="dxa" w:w="60"/>
              <w:right w:type="dxa" w:w="100"/>
            </w:tcMar>
          </w:tcPr>
          <w:p>
            <w:r>
              <w:rPr>
                <w:b w:val="false"/>
                <w:bCs w:val="false"/>
                <w:color w:val="000000"/>
                <w:sz w:val="19"/>
                <w:szCs w:val="19"/>
              </w:rPr>
              <w:t xml:space="preserve">Events (CSV)</w:t>
            </w:r>
          </w:p>
        </w:tc>
        <w:tc>
          <w:tcPr>
            <w:tcW w:type="dxa" w:w="4900"/>
            <w:shd w:fill="F5F8FB" w:color="auto" w:val="clear"/>
            <w:tcMar>
              <w:top w:type="dxa" w:w="60"/>
              <w:left w:type="dxa" w:w="100"/>
              <w:bottom w:type="dxa" w:w="60"/>
              <w:right w:type="dxa" w:w="100"/>
            </w:tcMar>
          </w:tcPr>
          <w:p>
            <w:r>
              <w:rPr>
                <w:b w:val="false"/>
                <w:bCs w:val="false"/>
                <w:color w:val="000000"/>
                <w:sz w:val="19"/>
                <w:szCs w:val="19"/>
              </w:rPr>
              <w:t xml:space="preserve">The full normalised, enriched event timeline</w:t>
            </w:r>
          </w:p>
        </w:tc>
        <w:tc>
          <w:tcPr>
            <w:tcW w:type="dxa" w:w="2260"/>
            <w:shd w:fill="F5F8FB" w:color="auto" w:val="clear"/>
            <w:tcMar>
              <w:top w:type="dxa" w:w="60"/>
              <w:left w:type="dxa" w:w="100"/>
              <w:bottom w:type="dxa" w:w="60"/>
              <w:right w:type="dxa" w:w="100"/>
            </w:tcMar>
          </w:tcPr>
          <w:p>
            <w:r>
              <w:rPr>
                <w:b w:val="false"/>
                <w:bCs w:val="false"/>
                <w:color w:val="000000"/>
                <w:sz w:val="19"/>
                <w:szCs w:val="19"/>
              </w:rPr>
              <w:t xml:space="preserve">Forensic review</w:t>
            </w:r>
          </w:p>
        </w:tc>
      </w:tr>
      <w:tr>
        <w:tc>
          <w:tcPr>
            <w:tcW w:type="dxa" w:w="2200"/>
            <w:tcMar>
              <w:top w:type="dxa" w:w="60"/>
              <w:left w:type="dxa" w:w="100"/>
              <w:bottom w:type="dxa" w:w="60"/>
              <w:right w:type="dxa" w:w="100"/>
            </w:tcMar>
          </w:tcPr>
          <w:p>
            <w:r>
              <w:rPr>
                <w:b w:val="false"/>
                <w:bCs w:val="false"/>
                <w:color w:val="000000"/>
                <w:sz w:val="19"/>
                <w:szCs w:val="19"/>
              </w:rPr>
              <w:t xml:space="preserve">Full bundle (ZIP)</w:t>
            </w:r>
          </w:p>
        </w:tc>
        <w:tc>
          <w:tcPr>
            <w:tcW w:type="dxa" w:w="4900"/>
            <w:tcMar>
              <w:top w:type="dxa" w:w="60"/>
              <w:left w:type="dxa" w:w="100"/>
              <w:bottom w:type="dxa" w:w="60"/>
              <w:right w:type="dxa" w:w="100"/>
            </w:tcMar>
          </w:tcPr>
          <w:p>
            <w:r>
              <w:rPr>
                <w:b w:val="false"/>
                <w:bCs w:val="false"/>
                <w:color w:val="000000"/>
                <w:sz w:val="19"/>
                <w:szCs w:val="19"/>
              </w:rPr>
              <w:t xml:space="preserve">All of the above in one archive</w:t>
            </w:r>
          </w:p>
        </w:tc>
        <w:tc>
          <w:tcPr>
            <w:tcW w:type="dxa" w:w="2260"/>
            <w:tcMar>
              <w:top w:type="dxa" w:w="60"/>
              <w:left w:type="dxa" w:w="100"/>
              <w:bottom w:type="dxa" w:w="60"/>
              <w:right w:type="dxa" w:w="100"/>
            </w:tcMar>
          </w:tcPr>
          <w:p>
            <w:r>
              <w:rPr>
                <w:b w:val="false"/>
                <w:bCs w:val="false"/>
                <w:color w:val="000000"/>
                <w:sz w:val="19"/>
                <w:szCs w:val="19"/>
              </w:rPr>
              <w:t xml:space="preserve">Case files</w:t>
            </w:r>
          </w:p>
        </w:tc>
      </w:tr>
    </w:tbl>
    <w:p>
      <w:pPr>
        <w:spacing w:after="160" w:line="300"/>
      </w:pPr>
      <w:r>
        <w:t xml:space="preserve"/>
      </w:r>
    </w:p>
    <w:p>
      <w:pPr>
        <w:pStyle w:val="Heading1"/>
      </w:pPr>
      <w:r>
        <w:t xml:space="preserve">8. Testing and verification</w:t>
      </w:r>
    </w:p>
    <w:p>
      <w:pPr>
        <w:spacing w:after="160" w:line="300"/>
      </w:pPr>
      <w:r>
        <w:t xml:space="preserve">The automated suite contains 48 tests in four modules and passes in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4E79" w:color="auto" w:val="clear"/>
            <w:tcMar>
              <w:top w:type="dxa" w:w="60"/>
              <w:left w:type="dxa" w:w="100"/>
              <w:bottom w:type="dxa" w:w="60"/>
              <w:right w:type="dxa" w:w="100"/>
            </w:tcMar>
          </w:tcPr>
          <w:p>
            <w:r>
              <w:rPr>
                <w:b/>
                <w:bCs/>
                <w:color w:val="FFFFFF"/>
                <w:sz w:val="19"/>
                <w:szCs w:val="19"/>
              </w:rPr>
              <w:t xml:space="preserve">Module</w:t>
            </w:r>
          </w:p>
        </w:tc>
        <w:tc>
          <w:tcPr>
            <w:tcW w:type="dxa" w:w="6560"/>
            <w:shd w:fill="1F4E79" w:color="auto" w:val="clear"/>
            <w:tcMar>
              <w:top w:type="dxa" w:w="60"/>
              <w:left w:type="dxa" w:w="100"/>
              <w:bottom w:type="dxa" w:w="60"/>
              <w:right w:type="dxa" w:w="100"/>
            </w:tcMar>
          </w:tcPr>
          <w:p>
            <w:r>
              <w:rPr>
                <w:b/>
                <w:bCs/>
                <w:color w:val="FFFFFF"/>
                <w:sz w:val="19"/>
                <w:szCs w:val="19"/>
              </w:rPr>
              <w:t xml:space="preserve">Covers</w:t>
            </w:r>
          </w:p>
        </w:tc>
      </w:tr>
      <w:tr>
        <w:tc>
          <w:tcPr>
            <w:tcW w:type="dxa" w:w="2800"/>
            <w:tcMar>
              <w:top w:type="dxa" w:w="60"/>
              <w:left w:type="dxa" w:w="100"/>
              <w:bottom w:type="dxa" w:w="60"/>
              <w:right w:type="dxa" w:w="100"/>
            </w:tcMar>
          </w:tcPr>
          <w:p>
            <w:r>
              <w:rPr>
                <w:b w:val="false"/>
                <w:bCs w:val="false"/>
                <w:color w:val="000000"/>
                <w:sz w:val="19"/>
                <w:szCs w:val="19"/>
              </w:rPr>
              <w:t xml:space="preserve">test_parsers.py</w:t>
            </w:r>
          </w:p>
        </w:tc>
        <w:tc>
          <w:tcPr>
            <w:tcW w:type="dxa" w:w="6560"/>
            <w:tcMar>
              <w:top w:type="dxa" w:w="60"/>
              <w:left w:type="dxa" w:w="100"/>
              <w:bottom w:type="dxa" w:w="60"/>
              <w:right w:type="dxa" w:w="100"/>
            </w:tcMar>
          </w:tcPr>
          <w:p>
            <w:r>
              <w:rPr>
                <w:b w:val="false"/>
                <w:bCs w:val="false"/>
                <w:color w:val="000000"/>
                <w:sz w:val="19"/>
                <w:szCs w:val="19"/>
              </w:rPr>
              <w:t xml:space="preserve">Format detection, required columns, empty and malformed files, column aliases, bad-timestamp rows</w:t>
            </w:r>
          </w:p>
        </w:tc>
      </w:tr>
      <w:tr>
        <w:tc>
          <w:tcPr>
            <w:tcW w:type="dxa" w:w="2800"/>
            <w:shd w:fill="F5F8FB" w:color="auto" w:val="clear"/>
            <w:tcMar>
              <w:top w:type="dxa" w:w="60"/>
              <w:left w:type="dxa" w:w="100"/>
              <w:bottom w:type="dxa" w:w="60"/>
              <w:right w:type="dxa" w:w="100"/>
            </w:tcMar>
          </w:tcPr>
          <w:p>
            <w:r>
              <w:rPr>
                <w:b w:val="false"/>
                <w:bCs w:val="false"/>
                <w:color w:val="000000"/>
                <w:sz w:val="19"/>
                <w:szCs w:val="19"/>
              </w:rPr>
              <w:t xml:space="preserve">test_normalization.py</w:t>
            </w:r>
          </w:p>
        </w:tc>
        <w:tc>
          <w:tcPr>
            <w:tcW w:type="dxa" w:w="6560"/>
            <w:shd w:fill="F5F8FB" w:color="auto" w:val="clear"/>
            <w:tcMar>
              <w:top w:type="dxa" w:w="60"/>
              <w:left w:type="dxa" w:w="100"/>
              <w:bottom w:type="dxa" w:w="60"/>
              <w:right w:type="dxa" w:w="100"/>
            </w:tcMar>
          </w:tcPr>
          <w:p>
            <w:r>
              <w:rPr>
                <w:b w:val="false"/>
                <w:bCs w:val="false"/>
                <w:color w:val="000000"/>
                <w:sz w:val="19"/>
                <w:szCs w:val="19"/>
              </w:rPr>
              <w:t xml:space="preserve">Timestamp formats and time zones, epoch values, IP and hash parsing, PowerShell decoding, internal and external classification</w:t>
            </w:r>
          </w:p>
        </w:tc>
      </w:tr>
      <w:tr>
        <w:tc>
          <w:tcPr>
            <w:tcW w:type="dxa" w:w="2800"/>
            <w:tcMar>
              <w:top w:type="dxa" w:w="60"/>
              <w:left w:type="dxa" w:w="100"/>
              <w:bottom w:type="dxa" w:w="60"/>
              <w:right w:type="dxa" w:w="100"/>
            </w:tcMar>
          </w:tcPr>
          <w:p>
            <w:r>
              <w:rPr>
                <w:b w:val="false"/>
                <w:bCs w:val="false"/>
                <w:color w:val="000000"/>
                <w:sz w:val="19"/>
                <w:szCs w:val="19"/>
              </w:rPr>
              <w:t xml:space="preserve">test_detection.py</w:t>
            </w:r>
          </w:p>
        </w:tc>
        <w:tc>
          <w:tcPr>
            <w:tcW w:type="dxa" w:w="6560"/>
            <w:tcMar>
              <w:top w:type="dxa" w:w="60"/>
              <w:left w:type="dxa" w:w="100"/>
              <w:bottom w:type="dxa" w:w="60"/>
              <w:right w:type="dxa" w:w="100"/>
            </w:tcMar>
          </w:tcPr>
          <w:p>
            <w:r>
              <w:rPr>
                <w:b w:val="false"/>
                <w:bCs w:val="false"/>
                <w:color w:val="000000"/>
                <w:sz w:val="19"/>
                <w:szCs w:val="19"/>
              </w:rPr>
              <w:t xml:space="preserve">Each detection family, benign-activity suppression, allowlists, rule disabling, rule-failure isolation</w:t>
            </w:r>
          </w:p>
        </w:tc>
      </w:tr>
      <w:tr>
        <w:tc>
          <w:tcPr>
            <w:tcW w:type="dxa" w:w="2800"/>
            <w:shd w:fill="F5F8FB" w:color="auto" w:val="clear"/>
            <w:tcMar>
              <w:top w:type="dxa" w:w="60"/>
              <w:left w:type="dxa" w:w="100"/>
              <w:bottom w:type="dxa" w:w="60"/>
              <w:right w:type="dxa" w:w="100"/>
            </w:tcMar>
          </w:tcPr>
          <w:p>
            <w:r>
              <w:rPr>
                <w:b w:val="false"/>
                <w:bCs w:val="false"/>
                <w:color w:val="000000"/>
                <w:sz w:val="19"/>
                <w:szCs w:val="19"/>
              </w:rPr>
              <w:t xml:space="preserve">test_pipeline.py</w:t>
            </w:r>
          </w:p>
        </w:tc>
        <w:tc>
          <w:tcPr>
            <w:tcW w:type="dxa" w:w="6560"/>
            <w:shd w:fill="F5F8FB" w:color="auto" w:val="clear"/>
            <w:tcMar>
              <w:top w:type="dxa" w:w="60"/>
              <w:left w:type="dxa" w:w="100"/>
              <w:bottom w:type="dxa" w:w="60"/>
              <w:right w:type="dxa" w:w="100"/>
            </w:tcMar>
          </w:tcPr>
          <w:p>
            <w:r>
              <w:rPr>
                <w:b w:val="false"/>
                <w:bCs w:val="false"/>
                <w:color w:val="000000"/>
                <w:sz w:val="19"/>
                <w:szCs w:val="19"/>
              </w:rPr>
              <w:t xml:space="preserve">End-to-end run on the sample data: incidents, expected techniques, IOC scoping, score bounds, report generation, process trees</w:t>
            </w:r>
          </w:p>
        </w:tc>
      </w:tr>
    </w:tbl>
    <w:p>
      <w:pPr>
        <w:spacing w:after="160" w:line="300"/>
      </w:pPr>
      <w:r>
        <w:t xml:space="preserve"/>
      </w:r>
    </w:p>
    <w:p>
      <w:pPr>
        <w:spacing w:after="160" w:line="300"/>
      </w:pPr>
      <w:r>
        <w:t xml:space="preserve">The end-to-end test confirms that scenario A is reconstructed as a single high-scoring incident, that the expected techniques appear, that the Microsoft range is not flagged as malicious, and that the risk scores stay within bounds.</w:t>
      </w:r>
    </w:p>
    <w:p>
      <w:pPr>
        <w:pStyle w:val="Heading1"/>
      </w:pPr>
      <w:r>
        <w:t xml:space="preserve">9. How to run</w:t>
      </w:r>
    </w:p>
    <w:p>
      <w:pPr>
        <w:pStyle w:val="ListParagraph"/>
        <w:numPr>
          <w:ilvl w:val="0"/>
          <w:numId w:val="2"/>
        </w:numPr>
        <w:spacing w:after="80"/>
      </w:pPr>
      <w:r>
        <w:t xml:space="preserve">Install the dependencies:</w:t>
      </w:r>
    </w:p>
    <w:p>
      <w:pPr>
        <w:shd w:fill="F2F2F2" w:val="clear"/>
        <w:spacing w:after="40"/>
      </w:pPr>
      <w:r>
        <w:rPr>
          <w:rFonts w:ascii="Consolas" w:cs="Consolas" w:eastAsia="Consolas" w:hAnsi="Consolas"/>
          <w:sz w:val="20"/>
          <w:szCs w:val="20"/>
        </w:rPr>
        <w:t xml:space="preserve">pip install -r requirements.txt</w:t>
      </w:r>
    </w:p>
    <w:p>
      <w:pPr>
        <w:pStyle w:val="ListParagraph"/>
        <w:numPr>
          <w:ilvl w:val="0"/>
          <w:numId w:val="2"/>
        </w:numPr>
        <w:spacing w:after="80"/>
      </w:pPr>
      <w:r>
        <w:t xml:space="preserve">Generate the sample dataset (optional, a copy is already included):</w:t>
      </w:r>
    </w:p>
    <w:p>
      <w:pPr>
        <w:shd w:fill="F2F2F2" w:val="clear"/>
        <w:spacing w:after="40"/>
      </w:pPr>
      <w:r>
        <w:rPr>
          <w:rFonts w:ascii="Consolas" w:cs="Consolas" w:eastAsia="Consolas" w:hAnsi="Consolas"/>
          <w:sz w:val="20"/>
          <w:szCs w:val="20"/>
        </w:rPr>
        <w:t xml:space="preserve">python scripts/generate_sample_data.py</w:t>
      </w:r>
    </w:p>
    <w:p>
      <w:pPr>
        <w:pStyle w:val="ListParagraph"/>
        <w:numPr>
          <w:ilvl w:val="0"/>
          <w:numId w:val="2"/>
        </w:numPr>
        <w:spacing w:after="80"/>
      </w:pPr>
      <w:r>
        <w:t xml:space="preserve">Start the console:</w:t>
      </w:r>
    </w:p>
    <w:p>
      <w:pPr>
        <w:shd w:fill="F2F2F2" w:val="clear"/>
        <w:spacing w:after="40"/>
      </w:pPr>
      <w:r>
        <w:rPr>
          <w:rFonts w:ascii="Consolas" w:cs="Consolas" w:eastAsia="Consolas" w:hAnsi="Consolas"/>
          <w:sz w:val="20"/>
          <w:szCs w:val="20"/>
        </w:rPr>
        <w:t xml:space="preserve">streamlit run app.py</w:t>
      </w:r>
    </w:p>
    <w:p>
      <w:pPr>
        <w:pStyle w:val="ListParagraph"/>
        <w:numPr>
          <w:ilvl w:val="0"/>
          <w:numId w:val="2"/>
        </w:numPr>
        <w:spacing w:after="80"/>
      </w:pPr>
      <w:r>
        <w:t xml:space="preserve">In the browser, open the sidebar, click "Load sample dataset", and navigate between the views. To analyse your own evidence, upload CSV exports under "Upload log CSVs" and click "Analyze uploads".</w:t>
      </w:r>
    </w:p>
    <w:p>
      <w:pPr>
        <w:pStyle w:val="ListParagraph"/>
        <w:numPr>
          <w:ilvl w:val="0"/>
          <w:numId w:val="2"/>
        </w:numPr>
        <w:spacing w:after="80"/>
      </w:pPr>
      <w:r>
        <w:t xml:space="preserve">Run the tests:</w:t>
      </w:r>
    </w:p>
    <w:p>
      <w:pPr>
        <w:shd w:fill="F2F2F2" w:val="clear"/>
        <w:spacing w:after="40"/>
      </w:pPr>
      <w:r>
        <w:rPr>
          <w:rFonts w:ascii="Consolas" w:cs="Consolas" w:eastAsia="Consolas" w:hAnsi="Consolas"/>
          <w:sz w:val="20"/>
          <w:szCs w:val="20"/>
        </w:rPr>
        <w:t xml:space="preserve">pytest -q</w:t>
      </w:r>
    </w:p>
    <w:p>
      <w:pPr>
        <w:spacing w:after="160" w:line="300"/>
      </w:pPr>
      <w:r>
        <w:t xml:space="preserve"/>
      </w:r>
    </w:p>
    <w:p>
      <w:pPr>
        <w:spacing w:after="160" w:line="300"/>
      </w:pPr>
      <w:r>
        <w:t xml:space="preserve">Detection thresholds and allowlists can be changed without editing code. To do so, create config/detection_rules.json and override only the keys you need.</w:t>
      </w:r>
    </w:p>
    <w:p>
      <w:pPr>
        <w:pStyle w:val="Heading1"/>
      </w:pPr>
      <w:r>
        <w:t xml:space="preserve">10. Known limitations and next steps</w:t>
      </w:r>
    </w:p>
    <w:p>
      <w:pPr>
        <w:spacing w:after="160" w:line="300"/>
      </w:pPr>
      <w:r>
        <w:t xml:space="preserve">The following items are open. They are listed so the project can be assessed honestly.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460"/>
      </w:tblGrid>
      <w:tr>
        <w:trPr>
          <w:tblHeader/>
        </w:trPr>
        <w:tc>
          <w:tcPr>
            <w:tcW w:type="dxa" w:w="1900"/>
            <w:shd w:fill="1F4E79" w:color="auto" w:val="clear"/>
            <w:tcMar>
              <w:top w:type="dxa" w:w="60"/>
              <w:left w:type="dxa" w:w="100"/>
              <w:bottom w:type="dxa" w:w="60"/>
              <w:right w:type="dxa" w:w="100"/>
            </w:tcMar>
          </w:tcPr>
          <w:p>
            <w:r>
              <w:rPr>
                <w:b/>
                <w:bCs/>
                <w:color w:val="FFFFFF"/>
                <w:sz w:val="19"/>
                <w:szCs w:val="19"/>
              </w:rPr>
              <w:t xml:space="preserve">Area</w:t>
            </w:r>
          </w:p>
        </w:tc>
        <w:tc>
          <w:tcPr>
            <w:tcW w:type="dxa" w:w="4000"/>
            <w:shd w:fill="1F4E79" w:color="auto" w:val="clear"/>
            <w:tcMar>
              <w:top w:type="dxa" w:w="60"/>
              <w:left w:type="dxa" w:w="100"/>
              <w:bottom w:type="dxa" w:w="60"/>
              <w:right w:type="dxa" w:w="100"/>
            </w:tcMar>
          </w:tcPr>
          <w:p>
            <w:r>
              <w:rPr>
                <w:b/>
                <w:bCs/>
                <w:color w:val="FFFFFF"/>
                <w:sz w:val="19"/>
                <w:szCs w:val="19"/>
              </w:rPr>
              <w:t xml:space="preserve">Limitation</w:t>
            </w:r>
          </w:p>
        </w:tc>
        <w:tc>
          <w:tcPr>
            <w:tcW w:type="dxa" w:w="3460"/>
            <w:shd w:fill="1F4E79" w:color="auto" w:val="clear"/>
            <w:tcMar>
              <w:top w:type="dxa" w:w="60"/>
              <w:left w:type="dxa" w:w="100"/>
              <w:bottom w:type="dxa" w:w="60"/>
              <w:right w:type="dxa" w:w="100"/>
            </w:tcMar>
          </w:tcPr>
          <w:p>
            <w:r>
              <w:rPr>
                <w:b/>
                <w:bCs/>
                <w:color w:val="FFFFFF"/>
                <w:sz w:val="19"/>
                <w:szCs w:val="19"/>
              </w:rPr>
              <w:t xml:space="preserve">Suggested next step</w:t>
            </w:r>
          </w:p>
        </w:tc>
      </w:tr>
      <w:tr>
        <w:tc>
          <w:tcPr>
            <w:tcW w:type="dxa" w:w="1900"/>
            <w:tcMar>
              <w:top w:type="dxa" w:w="60"/>
              <w:left w:type="dxa" w:w="100"/>
              <w:bottom w:type="dxa" w:w="60"/>
              <w:right w:type="dxa" w:w="100"/>
            </w:tcMar>
          </w:tcPr>
          <w:p>
            <w:r>
              <w:rPr>
                <w:b w:val="false"/>
                <w:bCs w:val="false"/>
                <w:color w:val="000000"/>
                <w:sz w:val="19"/>
                <w:szCs w:val="19"/>
              </w:rPr>
              <w:t xml:space="preserve">Validation data</w:t>
            </w:r>
          </w:p>
        </w:tc>
        <w:tc>
          <w:tcPr>
            <w:tcW w:type="dxa" w:w="4000"/>
            <w:tcMar>
              <w:top w:type="dxa" w:w="60"/>
              <w:left w:type="dxa" w:w="100"/>
              <w:bottom w:type="dxa" w:w="60"/>
              <w:right w:type="dxa" w:w="100"/>
            </w:tcMar>
          </w:tcPr>
          <w:p>
            <w:r>
              <w:rPr>
                <w:b w:val="false"/>
                <w:bCs w:val="false"/>
                <w:color w:val="000000"/>
                <w:sz w:val="19"/>
                <w:szCs w:val="19"/>
              </w:rPr>
              <w:t xml:space="preserve">Results come from synthetic data designed to exercise the rules. False-positive and detection rates on real telemetry are unmeasured.</w:t>
            </w:r>
          </w:p>
        </w:tc>
        <w:tc>
          <w:tcPr>
            <w:tcW w:type="dxa" w:w="3460"/>
            <w:tcMar>
              <w:top w:type="dxa" w:w="60"/>
              <w:left w:type="dxa" w:w="100"/>
              <w:bottom w:type="dxa" w:w="60"/>
              <w:right w:type="dxa" w:w="100"/>
            </w:tcMar>
          </w:tcPr>
          <w:p>
            <w:r>
              <w:rPr>
                <w:b w:val="false"/>
                <w:bCs w:val="false"/>
                <w:color w:val="000000"/>
                <w:sz w:val="19"/>
                <w:szCs w:val="19"/>
              </w:rPr>
              <w:t xml:space="preserve">Test on public datasets (e.g. EVTX-ATTACK-SAMPLES, Mordor) and record precision and recall.</w:t>
            </w:r>
          </w:p>
        </w:tc>
      </w:tr>
      <w:tr>
        <w:tc>
          <w:tcPr>
            <w:tcW w:type="dxa" w:w="1900"/>
            <w:shd w:fill="F5F8FB" w:color="auto" w:val="clear"/>
            <w:tcMar>
              <w:top w:type="dxa" w:w="60"/>
              <w:left w:type="dxa" w:w="100"/>
              <w:bottom w:type="dxa" w:w="60"/>
              <w:right w:type="dxa" w:w="100"/>
            </w:tcMar>
          </w:tcPr>
          <w:p>
            <w:r>
              <w:rPr>
                <w:b w:val="false"/>
                <w:bCs w:val="false"/>
                <w:color w:val="000000"/>
                <w:sz w:val="19"/>
                <w:szCs w:val="19"/>
              </w:rPr>
              <w:t xml:space="preserve">Attack-chain view</w:t>
            </w:r>
          </w:p>
        </w:tc>
        <w:tc>
          <w:tcPr>
            <w:tcW w:type="dxa" w:w="4000"/>
            <w:shd w:fill="F5F8FB" w:color="auto" w:val="clear"/>
            <w:tcMar>
              <w:top w:type="dxa" w:w="60"/>
              <w:left w:type="dxa" w:w="100"/>
              <w:bottom w:type="dxa" w:w="60"/>
              <w:right w:type="dxa" w:w="100"/>
            </w:tcMar>
          </w:tcPr>
          <w:p>
            <w:r>
              <w:rPr>
                <w:b w:val="false"/>
                <w:bCs w:val="false"/>
                <w:color w:val="000000"/>
                <w:sz w:val="19"/>
                <w:szCs w:val="19"/>
              </w:rPr>
              <w:t xml:space="preserve">Step labels overlap when a chain has many steps.</w:t>
            </w:r>
          </w:p>
        </w:tc>
        <w:tc>
          <w:tcPr>
            <w:tcW w:type="dxa" w:w="3460"/>
            <w:shd w:fill="F5F8FB" w:color="auto" w:val="clear"/>
            <w:tcMar>
              <w:top w:type="dxa" w:w="60"/>
              <w:left w:type="dxa" w:w="100"/>
              <w:bottom w:type="dxa" w:w="60"/>
              <w:right w:type="dxa" w:w="100"/>
            </w:tcMar>
          </w:tcPr>
          <w:p>
            <w:r>
              <w:rPr>
                <w:b w:val="false"/>
                <w:bCs w:val="false"/>
                <w:color w:val="000000"/>
                <w:sz w:val="19"/>
                <w:szCs w:val="19"/>
              </w:rPr>
              <w:t xml:space="preserve">Use a horizontal scroll or a two-row layout for long chains.</w:t>
            </w:r>
          </w:p>
        </w:tc>
      </w:tr>
      <w:tr>
        <w:tc>
          <w:tcPr>
            <w:tcW w:type="dxa" w:w="1900"/>
            <w:tcMar>
              <w:top w:type="dxa" w:w="60"/>
              <w:left w:type="dxa" w:w="100"/>
              <w:bottom w:type="dxa" w:w="60"/>
              <w:right w:type="dxa" w:w="100"/>
            </w:tcMar>
          </w:tcPr>
          <w:p>
            <w:r>
              <w:rPr>
                <w:b w:val="false"/>
                <w:bCs w:val="false"/>
                <w:color w:val="000000"/>
                <w:sz w:val="19"/>
                <w:szCs w:val="19"/>
              </w:rPr>
              <w:t xml:space="preserve">Dark theme</w:t>
            </w:r>
          </w:p>
        </w:tc>
        <w:tc>
          <w:tcPr>
            <w:tcW w:type="dxa" w:w="4000"/>
            <w:tcMar>
              <w:top w:type="dxa" w:w="60"/>
              <w:left w:type="dxa" w:w="100"/>
              <w:bottom w:type="dxa" w:w="60"/>
              <w:right w:type="dxa" w:w="100"/>
            </w:tcMar>
          </w:tcPr>
          <w:p>
            <w:r>
              <w:rPr>
                <w:b w:val="false"/>
                <w:bCs w:val="false"/>
                <w:color w:val="000000"/>
                <w:sz w:val="19"/>
                <w:szCs w:val="19"/>
              </w:rPr>
              <w:t xml:space="preserve">Expander headers have low contrast.</w:t>
            </w:r>
          </w:p>
        </w:tc>
        <w:tc>
          <w:tcPr>
            <w:tcW w:type="dxa" w:w="3460"/>
            <w:tcMar>
              <w:top w:type="dxa" w:w="60"/>
              <w:left w:type="dxa" w:w="100"/>
              <w:bottom w:type="dxa" w:w="60"/>
              <w:right w:type="dxa" w:w="100"/>
            </w:tcMar>
          </w:tcPr>
          <w:p>
            <w:r>
              <w:rPr>
                <w:b w:val="false"/>
                <w:bCs w:val="false"/>
                <w:color w:val="000000"/>
                <w:sz w:val="19"/>
                <w:szCs w:val="19"/>
              </w:rPr>
              <w:t xml:space="preserve">Raise the header text colour in the theme CSS.</w:t>
            </w:r>
          </w:p>
        </w:tc>
      </w:tr>
      <w:tr>
        <w:tc>
          <w:tcPr>
            <w:tcW w:type="dxa" w:w="1900"/>
            <w:shd w:fill="F5F8FB" w:color="auto" w:val="clear"/>
            <w:tcMar>
              <w:top w:type="dxa" w:w="60"/>
              <w:left w:type="dxa" w:w="100"/>
              <w:bottom w:type="dxa" w:w="60"/>
              <w:right w:type="dxa" w:w="100"/>
            </w:tcMar>
          </w:tcPr>
          <w:p>
            <w:r>
              <w:rPr>
                <w:b w:val="false"/>
                <w:bCs w:val="false"/>
                <w:color w:val="000000"/>
                <w:sz w:val="19"/>
                <w:szCs w:val="19"/>
              </w:rPr>
              <w:t xml:space="preserve">User names</w:t>
            </w:r>
          </w:p>
        </w:tc>
        <w:tc>
          <w:tcPr>
            <w:tcW w:type="dxa" w:w="4000"/>
            <w:shd w:fill="F5F8FB" w:color="auto" w:val="clear"/>
            <w:tcMar>
              <w:top w:type="dxa" w:w="60"/>
              <w:left w:type="dxa" w:w="100"/>
              <w:bottom w:type="dxa" w:w="60"/>
              <w:right w:type="dxa" w:w="100"/>
            </w:tcMar>
          </w:tcPr>
          <w:p>
            <w:r>
              <w:rPr>
                <w:b w:val="false"/>
                <w:bCs w:val="false"/>
                <w:color w:val="000000"/>
                <w:sz w:val="19"/>
                <w:szCs w:val="19"/>
              </w:rPr>
              <w:t xml:space="preserve">The same account can appear in more than one format (e.g. CORP\jdoe and jdoe).</w:t>
            </w:r>
          </w:p>
        </w:tc>
        <w:tc>
          <w:tcPr>
            <w:tcW w:type="dxa" w:w="3460"/>
            <w:shd w:fill="F5F8FB" w:color="auto" w:val="clear"/>
            <w:tcMar>
              <w:top w:type="dxa" w:w="60"/>
              <w:left w:type="dxa" w:w="100"/>
              <w:bottom w:type="dxa" w:w="60"/>
              <w:right w:type="dxa" w:w="100"/>
            </w:tcMar>
          </w:tcPr>
          <w:p>
            <w:r>
              <w:rPr>
                <w:b w:val="false"/>
                <w:bCs w:val="false"/>
                <w:color w:val="000000"/>
                <w:sz w:val="19"/>
                <w:szCs w:val="19"/>
              </w:rPr>
              <w:t xml:space="preserve">Normalise domain prefixes in the correlation step.</w:t>
            </w:r>
          </w:p>
        </w:tc>
      </w:tr>
      <w:tr>
        <w:tc>
          <w:tcPr>
            <w:tcW w:type="dxa" w:w="1900"/>
            <w:tcMar>
              <w:top w:type="dxa" w:w="60"/>
              <w:left w:type="dxa" w:w="100"/>
              <w:bottom w:type="dxa" w:w="60"/>
              <w:right w:type="dxa" w:w="100"/>
            </w:tcMar>
          </w:tcPr>
          <w:p>
            <w:r>
              <w:rPr>
                <w:b w:val="false"/>
                <w:bCs w:val="false"/>
                <w:color w:val="000000"/>
                <w:sz w:val="19"/>
                <w:szCs w:val="19"/>
              </w:rPr>
              <w:t xml:space="preserve">Input formats</w:t>
            </w:r>
          </w:p>
        </w:tc>
        <w:tc>
          <w:tcPr>
            <w:tcW w:type="dxa" w:w="4000"/>
            <w:tcMar>
              <w:top w:type="dxa" w:w="60"/>
              <w:left w:type="dxa" w:w="100"/>
              <w:bottom w:type="dxa" w:w="60"/>
              <w:right w:type="dxa" w:w="100"/>
            </w:tcMar>
          </w:tcPr>
          <w:p>
            <w:r>
              <w:rPr>
                <w:b w:val="false"/>
                <w:bCs w:val="false"/>
                <w:color w:val="000000"/>
                <w:sz w:val="19"/>
                <w:szCs w:val="19"/>
              </w:rPr>
              <w:t xml:space="preserve">Supports CSV exports only. Native EVTX and PCAP are not parsed.</w:t>
            </w:r>
          </w:p>
        </w:tc>
        <w:tc>
          <w:tcPr>
            <w:tcW w:type="dxa" w:w="3460"/>
            <w:tcMar>
              <w:top w:type="dxa" w:w="60"/>
              <w:left w:type="dxa" w:w="100"/>
              <w:bottom w:type="dxa" w:w="60"/>
              <w:right w:type="dxa" w:w="100"/>
            </w:tcMar>
          </w:tcPr>
          <w:p>
            <w:r>
              <w:rPr>
                <w:b w:val="false"/>
                <w:bCs w:val="false"/>
                <w:color w:val="000000"/>
                <w:sz w:val="19"/>
                <w:szCs w:val="19"/>
              </w:rPr>
              <w:t xml:space="preserve">Add an EVTX reader and a PCAP-to-CSV step.</w:t>
            </w:r>
          </w:p>
        </w:tc>
      </w:tr>
      <w:tr>
        <w:tc>
          <w:tcPr>
            <w:tcW w:type="dxa" w:w="1900"/>
            <w:shd w:fill="F5F8FB" w:color="auto" w:val="clear"/>
            <w:tcMar>
              <w:top w:type="dxa" w:w="60"/>
              <w:left w:type="dxa" w:w="100"/>
              <w:bottom w:type="dxa" w:w="60"/>
              <w:right w:type="dxa" w:w="100"/>
            </w:tcMar>
          </w:tcPr>
          <w:p>
            <w:r>
              <w:rPr>
                <w:b w:val="false"/>
                <w:bCs w:val="false"/>
                <w:color w:val="000000"/>
                <w:sz w:val="19"/>
                <w:szCs w:val="19"/>
              </w:rPr>
              <w:t xml:space="preserve">Scale</w:t>
            </w:r>
          </w:p>
        </w:tc>
        <w:tc>
          <w:tcPr>
            <w:tcW w:type="dxa" w:w="4000"/>
            <w:shd w:fill="F5F8FB" w:color="auto" w:val="clear"/>
            <w:tcMar>
              <w:top w:type="dxa" w:w="60"/>
              <w:left w:type="dxa" w:w="100"/>
              <w:bottom w:type="dxa" w:w="60"/>
              <w:right w:type="dxa" w:w="100"/>
            </w:tcMar>
          </w:tcPr>
          <w:p>
            <w:r>
              <w:rPr>
                <w:b w:val="false"/>
                <w:bCs w:val="false"/>
                <w:color w:val="000000"/>
                <w:sz w:val="19"/>
                <w:szCs w:val="19"/>
              </w:rPr>
              <w:t xml:space="preserve">Analysis runs in memory and is sized for a single case.</w:t>
            </w:r>
          </w:p>
        </w:tc>
        <w:tc>
          <w:tcPr>
            <w:tcW w:type="dxa" w:w="3460"/>
            <w:shd w:fill="F5F8FB" w:color="auto" w:val="clear"/>
            <w:tcMar>
              <w:top w:type="dxa" w:w="60"/>
              <w:left w:type="dxa" w:w="100"/>
              <w:bottom w:type="dxa" w:w="60"/>
              <w:right w:type="dxa" w:w="100"/>
            </w:tcMar>
          </w:tcPr>
          <w:p>
            <w:r>
              <w:rPr>
                <w:b w:val="false"/>
                <w:bCs w:val="false"/>
                <w:color w:val="000000"/>
                <w:sz w:val="19"/>
                <w:szCs w:val="19"/>
              </w:rPr>
              <w:t xml:space="preserve">Add chunked processing for very large logs.</w:t>
            </w:r>
          </w:p>
        </w:tc>
      </w:tr>
    </w:tbl>
    <w:p>
      <w:pPr>
        <w:spacing w:after="160" w:line="300"/>
      </w:pPr>
      <w:r>
        <w:t xml:space="preserve"/>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CyberIA Project Report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b/>
      <w:bCs/>
      <w:color w:val="1F4E79"/>
      <w:sz w:val="34"/>
      <w:szCs w:val="34"/>
    </w:rPr>
  </w:style>
  <w:style w:type="paragraph" w:styleId="Heading2">
    <w:name w:val="Heading 2"/>
    <w:basedOn w:val="Normal"/>
    <w:next w:val="Normal"/>
    <w:qFormat/>
    <w:pPr>
      <w:keepNext/>
      <w:spacing w:after="120" w:before="240"/>
      <w:outlineLvl w:val="1"/>
    </w:pPr>
    <w:rPr>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c19b9d57a350bd82320dd82023b79f3e8d07f34.png"/><Relationship Id="rId9" Type="http://schemas.openxmlformats.org/officeDocument/2006/relationships/image" Target="media/ae53a227ab423c8511fed41ec1832fadb5131dcd.png"/><Relationship Id="rId10" Type="http://schemas.openxmlformats.org/officeDocument/2006/relationships/image" Target="media/035400a3d6eae1440c2fe80289eb2781580b4143.png"/><Relationship Id="rId11" Type="http://schemas.openxmlformats.org/officeDocument/2006/relationships/image" Target="media/d90fcaa22db2afdd3fcc6c55a8218461dcc1ae4a.png"/><Relationship Id="rId12" Type="http://schemas.openxmlformats.org/officeDocument/2006/relationships/image" Target="media/73f46c50e6138e6f82802a6c4ef617432fb14b26.png"/><Relationship Id="rId13" Type="http://schemas.openxmlformats.org/officeDocument/2006/relationships/image" Target="media/db3d269790b37aa77970bcdb771c4c21154b5f45.png"/><Relationship Id="rId14" Type="http://schemas.openxmlformats.org/officeDocument/2006/relationships/image" Target="media/0cd822b38ee2086b8dbd4b27b2d56fe778fb6844.png"/><Relationship Id="rId15" Type="http://schemas.openxmlformats.org/officeDocument/2006/relationships/image" Target="media/5e1333fc12c4e67f0418dd5155d080ea3f8a1cc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CyberIA Project Report</dc:title>
  <dc:creator>CyberIA</dc:creator>
  <cp:lastModifiedBy>Un-named</cp:lastModifiedBy>
  <cp:revision>1</cp:revision>
  <dcterms:created xsi:type="dcterms:W3CDTF">2026-10-20T10:29:11.361Z</dcterms:created>
  <dcterms:modified xsi:type="dcterms:W3CDTF">2026-10-20T10:29:11.366Z</dcterms:modified>
</cp:coreProperties>
</file>

<file path=docProps/custom.xml><?xml version="1.0" encoding="utf-8"?>
<Properties xmlns="http://schemas.openxmlformats.org/officeDocument/2006/custom-properties" xmlns:vt="http://schemas.openxmlformats.org/officeDocument/2006/docPropsVTypes"/>
</file>