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E293B"/>
          <w:sz w:val="32"/>
        </w:rPr>
        <w:t>MAARS LENS — STATUTORY INSPECTION REPORT</w:t>
      </w:r>
    </w:p>
    <w:p>
      <w:pPr>
        <w:spacing w:after="240"/>
      </w:pPr>
      <w:r>
        <w:rPr>
          <w:rFonts w:ascii="Calibri" w:hAnsi="Calibri"/>
          <w:color w:val="64748B"/>
          <w:sz w:val="18"/>
        </w:rPr>
        <w:t>Legal Metrology (Packaged Commodities) Rules, 2011 — Prototype Compliance Verification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Inspection ID</w:t>
            </w:r>
          </w:p>
        </w:tc>
        <w:tc>
          <w:tcPr>
            <w:tcW w:type="dxa" w:w="4320"/>
          </w:tcPr>
          <w:p>
            <w:r>
              <w:t>ab97c077-59fa-404f-a352-e8fe56a0e9b4</w:t>
            </w:r>
          </w:p>
        </w:tc>
      </w:tr>
      <w:tr>
        <w:tc>
          <w:tcPr>
            <w:tcW w:type="dxa" w:w="4320"/>
          </w:tcPr>
          <w:p>
            <w:r>
              <w:t>Officer ID</w:t>
            </w:r>
          </w:p>
        </w:tc>
        <w:tc>
          <w:tcPr>
            <w:tcW w:type="dxa" w:w="4320"/>
          </w:tcPr>
          <w:p>
            <w:r>
              <w:t>a0000000-0000-0000-0000-000000000001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Audit Verification Biscuit</w:t>
            </w:r>
          </w:p>
        </w:tc>
      </w:tr>
      <w:tr>
        <w:tc>
          <w:tcPr>
            <w:tcW w:type="dxa" w:w="4320"/>
          </w:tcPr>
          <w:p>
            <w:r>
              <w:t>Brand Name</w:t>
            </w:r>
          </w:p>
        </w:tc>
        <w:tc>
          <w:tcPr>
            <w:tcW w:type="dxa" w:w="4320"/>
          </w:tcPr>
          <w:p>
            <w:r>
              <w:t>AuditCo</w:t>
            </w:r>
          </w:p>
        </w:tc>
      </w:tr>
      <w:tr>
        <w:tc>
          <w:tcPr>
            <w:tcW w:type="dxa" w:w="4320"/>
          </w:tcPr>
          <w:p>
            <w:r>
              <w:t>Final Compliance</w:t>
            </w:r>
          </w:p>
        </w:tc>
        <w:tc>
          <w:tcPr>
            <w:tcW w:type="dxa" w:w="4320"/>
          </w:tcPr>
          <w:p>
            <w:r>
              <w:t>NEEDS_REVIEW</w:t>
            </w:r>
          </w:p>
        </w:tc>
      </w:tr>
      <w:tr>
        <w:tc>
          <w:tcPr>
            <w:tcW w:type="dxa" w:w="4320"/>
          </w:tcPr>
          <w:p>
            <w:r>
              <w:t>Report Hash (SHA-256)</w:t>
            </w:r>
          </w:p>
        </w:tc>
        <w:tc>
          <w:tcPr>
            <w:tcW w:type="dxa" w:w="4320"/>
          </w:tcPr>
          <w:p>
            <w:r>
              <w:t>sha256:3aa6e1d7940fa14be72c2567b1c909410363bab4b1e677c21c5828c15087c35d</w:t>
            </w:r>
          </w:p>
        </w:tc>
      </w:tr>
    </w:tbl>
    <w:p>
      <w:pPr>
        <w:spacing w:after="120"/>
      </w:pPr>
    </w:p>
    <w:p>
      <w:pPr>
        <w:pStyle w:val="Heading2"/>
      </w:pPr>
      <w:r>
        <w:t>Statutory Rule Audit Evaluations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 Code</w:t>
            </w:r>
          </w:p>
        </w:tc>
        <w:tc>
          <w:tcPr>
            <w:tcW w:type="dxa" w:w="1728"/>
          </w:tcPr>
          <w:p>
            <w:r>
              <w:t>Statutory Reference</w:t>
            </w:r>
          </w:p>
        </w:tc>
        <w:tc>
          <w:tcPr>
            <w:tcW w:type="dxa" w:w="1728"/>
          </w:tcPr>
          <w:p>
            <w:r>
              <w:t>Automated Result</w:t>
            </w:r>
          </w:p>
        </w:tc>
        <w:tc>
          <w:tcPr>
            <w:tcW w:type="dxa" w:w="1728"/>
          </w:tcPr>
          <w:p>
            <w:r>
              <w:t>Manual Review</w:t>
            </w:r>
          </w:p>
        </w:tc>
        <w:tc>
          <w:tcPr>
            <w:tcW w:type="dxa" w:w="1728"/>
          </w:tcPr>
          <w:p>
            <w:r>
              <w:t>Effective Result</w:t>
            </w:r>
          </w:p>
        </w:tc>
      </w:tr>
      <w:tr>
        <w:tc>
          <w:tcPr>
            <w:tcW w:type="dxa" w:w="1728"/>
          </w:tcPr>
          <w:p>
            <w:r>
              <w:t>LMPC-R6-CONSUMER-CARE</w:t>
            </w:r>
          </w:p>
        </w:tc>
        <w:tc>
          <w:tcPr>
            <w:tcW w:type="dxa" w:w="1728"/>
          </w:tcPr>
          <w:p>
            <w:r>
              <w:t>Legal Metrology (Packaged Commodities) Rules, 2011 - Rule 6(1)(da)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LMPC-R6-COUNTRY-OF-ORIGIN</w:t>
            </w:r>
          </w:p>
        </w:tc>
        <w:tc>
          <w:tcPr>
            <w:tcW w:type="dxa" w:w="1728"/>
          </w:tcPr>
          <w:p>
            <w:r>
              <w:t>Legal Metrology (Packaged Commodities) Rules, 2011 - Rule 6(10)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LMPC-R6-MFG-MONTH-YEAR</w:t>
            </w:r>
          </w:p>
        </w:tc>
        <w:tc>
          <w:tcPr>
            <w:tcW w:type="dxa" w:w="1728"/>
          </w:tcPr>
          <w:p>
            <w:r>
              <w:t>Legal Metrology (Packaged Commodities) Rules, 2011 - Rule 6(1)(b)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LMPC-R6-MRP</w:t>
            </w:r>
          </w:p>
        </w:tc>
        <w:tc>
          <w:tcPr>
            <w:tcW w:type="dxa" w:w="1728"/>
          </w:tcPr>
          <w:p>
            <w:r>
              <w:t>Legal Metrology (Packaged Commodities) Rules, 2011 - Rule 6(1)(e)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LMPC-R6-MRP-TAX-INCLUSIVE</w:t>
            </w:r>
          </w:p>
        </w:tc>
        <w:tc>
          <w:tcPr>
            <w:tcW w:type="dxa" w:w="1728"/>
          </w:tcPr>
          <w:p>
            <w:r>
              <w:t>Legal Metrology (Packaged Commodities) Rules, 2011 - Rule 6(1)(e)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LMPC-R6-NAME-ADDRESS</w:t>
            </w:r>
          </w:p>
        </w:tc>
        <w:tc>
          <w:tcPr>
            <w:tcW w:type="dxa" w:w="1728"/>
          </w:tcPr>
          <w:p>
            <w:r>
              <w:t>Legal Metrology (Packaged Commodities) Rules, 2011 - Rule 6(1)(a)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LMPC-R6-NET-QTY</w:t>
            </w:r>
          </w:p>
        </w:tc>
        <w:tc>
          <w:tcPr>
            <w:tcW w:type="dxa" w:w="1728"/>
          </w:tcPr>
          <w:p>
            <w:r>
              <w:t>Legal Metrology (Packaged Commodities) Rules, 2011 - Rule 6(1)(d)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LMPC-R6-UNIT-SALE-PRICE</w:t>
            </w:r>
          </w:p>
        </w:tc>
        <w:tc>
          <w:tcPr>
            <w:tcW w:type="dxa" w:w="1728"/>
          </w:tcPr>
          <w:p>
            <w:r>
              <w:t>Legal Metrology (Packaged Commodities) Amendment Rules - Rule 6(11)</w:t>
            </w:r>
          </w:p>
        </w:tc>
        <w:tc>
          <w:tcPr>
            <w:tcW w:type="dxa" w:w="1728"/>
          </w:tcPr>
          <w:p>
            <w:r>
              <w:t>not_applicable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not_applicable</w:t>
            </w:r>
          </w:p>
        </w:tc>
      </w:tr>
      <w:tr>
        <w:tc>
          <w:tcPr>
            <w:tcW w:type="dxa" w:w="1728"/>
          </w:tcPr>
          <w:p>
            <w:r>
              <w:t>LMPC-R7-FONT-SIZE</w:t>
            </w:r>
          </w:p>
        </w:tc>
        <w:tc>
          <w:tcPr>
            <w:tcW w:type="dxa" w:w="1728"/>
          </w:tcPr>
          <w:p>
            <w:r>
              <w:t>Legal Metrology (Packaged Commodities) Rules, 2011 - Rule 7 Table</w:t>
            </w:r>
          </w:p>
        </w:tc>
        <w:tc>
          <w:tcPr>
            <w:tcW w:type="dxa" w:w="1728"/>
          </w:tcPr>
          <w:p>
            <w:r>
              <w:t>needs_review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needs_review</w:t>
            </w:r>
          </w:p>
        </w:tc>
      </w:tr>
      <w:tr>
        <w:tc>
          <w:tcPr>
            <w:tcW w:type="dxa" w:w="1728"/>
          </w:tcPr>
          <w:p>
            <w:r>
              <w:t>PCR-2011-RULE-6-1-MRP</w:t>
            </w:r>
          </w:p>
        </w:tc>
        <w:tc>
          <w:tcPr>
            <w:tcW w:type="dxa" w:w="1728"/>
          </w:tcPr>
          <w:p>
            <w:r>
              <w:t>Legal Metrology (Packaged Commodities) Rules, 2011 - Rule 6(1)(e)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spacing w:after="240"/>
      </w:pPr>
    </w:p>
    <w:p>
      <w:r>
        <w:rPr>
          <w:i/>
          <w:color w:val="64748B"/>
          <w:sz w:val="17"/>
        </w:rPr>
        <w:t>Cryptographic SHA-256 seal: sha256:3aa6e1d7940fa14be72c2567b1c909410363bab4b1e677c21c5828c15087c35d.</w:t>
        <w:br/>
        <w:t>Thresholds and rule codes shown are subject to legal verification (legal_verified=false) under the Legal Metrology Act, 2009 and Packaged Commodities Rules, 2011.</w:t>
        <w:br/>
        <w:t>Font height measurement from camera images is an estimate and requires physical gauge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