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69DE6" w14:textId="77777777" w:rsidR="006823D5" w:rsidRPr="00FE7FA1" w:rsidRDefault="00DA240A">
      <w:pPr>
        <w:spacing w:before="400" w:after="100"/>
        <w:jc w:val="center"/>
        <w:rPr>
          <w:sz w:val="32"/>
          <w:szCs w:val="32"/>
        </w:rPr>
      </w:pPr>
      <w:r w:rsidRPr="00FE7FA1">
        <w:rPr>
          <w:b/>
          <w:bCs/>
          <w:color w:val="1F3864"/>
          <w:sz w:val="32"/>
          <w:szCs w:val="32"/>
        </w:rPr>
        <w:t>Olist E-Commerce</w:t>
      </w:r>
    </w:p>
    <w:p w14:paraId="74369DE7" w14:textId="77777777" w:rsidR="006823D5" w:rsidRPr="00FE7FA1" w:rsidRDefault="00DA240A">
      <w:pPr>
        <w:spacing w:after="100"/>
        <w:jc w:val="center"/>
        <w:rPr>
          <w:sz w:val="32"/>
          <w:szCs w:val="32"/>
        </w:rPr>
      </w:pPr>
      <w:r w:rsidRPr="00FE7FA1">
        <w:rPr>
          <w:b/>
          <w:bCs/>
          <w:color w:val="2E5FA3"/>
          <w:sz w:val="32"/>
          <w:szCs w:val="32"/>
        </w:rPr>
        <w:t>Business Performance Analysis</w:t>
      </w:r>
    </w:p>
    <w:p w14:paraId="74369DE8" w14:textId="77777777" w:rsidR="006823D5" w:rsidRPr="00FE7FA1" w:rsidRDefault="00DA240A">
      <w:pPr>
        <w:spacing w:after="60"/>
        <w:jc w:val="center"/>
        <w:rPr>
          <w:sz w:val="24"/>
          <w:szCs w:val="24"/>
        </w:rPr>
      </w:pPr>
      <w:r w:rsidRPr="00FE7FA1">
        <w:rPr>
          <w:sz w:val="24"/>
          <w:szCs w:val="24"/>
        </w:rPr>
        <w:t>2016 – 2018 | Brazilian E-Commerce Market</w:t>
      </w:r>
    </w:p>
    <w:p w14:paraId="74369DEA" w14:textId="5B43C5D0" w:rsidR="006823D5" w:rsidRPr="00FE7FA1" w:rsidRDefault="00DA240A" w:rsidP="0024699A">
      <w:pPr>
        <w:spacing w:after="400"/>
        <w:jc w:val="center"/>
        <w:rPr>
          <w:sz w:val="24"/>
          <w:szCs w:val="24"/>
        </w:rPr>
      </w:pPr>
      <w:r w:rsidRPr="00FE7FA1">
        <w:rPr>
          <w:color w:val="555555"/>
          <w:sz w:val="24"/>
          <w:szCs w:val="24"/>
        </w:rPr>
        <w:t xml:space="preserve">Prepared by: Akash </w:t>
      </w:r>
      <w:r w:rsidR="0024699A" w:rsidRPr="00FE7FA1">
        <w:rPr>
          <w:color w:val="555555"/>
          <w:sz w:val="24"/>
          <w:szCs w:val="24"/>
        </w:rPr>
        <w:t>Marneni |</w:t>
      </w:r>
      <w:r w:rsidRPr="00FE7FA1">
        <w:rPr>
          <w:color w:val="555555"/>
          <w:sz w:val="24"/>
          <w:szCs w:val="24"/>
        </w:rPr>
        <w:t xml:space="preserve"> </w:t>
      </w:r>
      <w:r w:rsidRPr="00FE7FA1">
        <w:rPr>
          <w:color w:val="555555"/>
          <w:sz w:val="24"/>
          <w:szCs w:val="24"/>
        </w:rPr>
        <w:t>Role: Business Analyst</w:t>
      </w:r>
      <w:r w:rsidRPr="00FE7FA1">
        <w:rPr>
          <w:color w:val="555555"/>
          <w:sz w:val="24"/>
          <w:szCs w:val="24"/>
        </w:rPr>
        <w:t xml:space="preserve"> |</w:t>
      </w:r>
      <w:r w:rsidRPr="00FE7FA1">
        <w:rPr>
          <w:color w:val="555555"/>
          <w:sz w:val="24"/>
          <w:szCs w:val="24"/>
        </w:rPr>
        <w:t xml:space="preserve"> Date: </w:t>
      </w:r>
      <w:r w:rsidR="00B82DDF" w:rsidRPr="00FE7FA1">
        <w:rPr>
          <w:color w:val="555555"/>
          <w:sz w:val="24"/>
          <w:szCs w:val="24"/>
        </w:rPr>
        <w:t xml:space="preserve">March </w:t>
      </w:r>
      <w:r w:rsidRPr="00FE7FA1">
        <w:rPr>
          <w:color w:val="555555"/>
          <w:sz w:val="24"/>
          <w:szCs w:val="24"/>
        </w:rPr>
        <w:t>2026</w:t>
      </w:r>
    </w:p>
    <w:p w14:paraId="74369DEB" w14:textId="2AC50B51" w:rsidR="006823D5" w:rsidRPr="00FE7FA1" w:rsidRDefault="00DA240A">
      <w:pPr>
        <w:pStyle w:val="Heading1"/>
        <w:spacing w:before="300" w:after="150"/>
        <w:rPr>
          <w:rFonts w:asciiTheme="majorHAnsi" w:hAnsiTheme="majorHAnsi"/>
          <w:color w:val="auto"/>
          <w:sz w:val="28"/>
          <w:szCs w:val="28"/>
        </w:rPr>
      </w:pPr>
      <w:r w:rsidRPr="00FE7FA1">
        <w:rPr>
          <w:rFonts w:asciiTheme="majorHAnsi" w:hAnsiTheme="majorHAnsi"/>
          <w:b/>
          <w:bCs/>
          <w:color w:val="auto"/>
          <w:sz w:val="28"/>
          <w:szCs w:val="28"/>
        </w:rPr>
        <w:t>1. Executive Summary</w:t>
      </w:r>
      <w:r w:rsidR="00FE7FA1">
        <w:rPr>
          <w:rFonts w:asciiTheme="majorHAnsi" w:hAnsiTheme="majorHAnsi"/>
          <w:b/>
          <w:bCs/>
          <w:color w:val="auto"/>
          <w:sz w:val="28"/>
          <w:szCs w:val="28"/>
        </w:rPr>
        <w:t>:</w:t>
      </w:r>
    </w:p>
    <w:p w14:paraId="74369DEC" w14:textId="77777777" w:rsidR="006823D5" w:rsidRPr="00FE7FA1" w:rsidRDefault="00DA240A" w:rsidP="00FE7FA1">
      <w:pPr>
        <w:spacing w:before="80" w:after="80"/>
        <w:jc w:val="both"/>
        <w:rPr>
          <w:rFonts w:asciiTheme="minorHAnsi" w:hAnsiTheme="minorHAnsi"/>
          <w:sz w:val="24"/>
          <w:szCs w:val="24"/>
        </w:rPr>
      </w:pPr>
      <w:r w:rsidRPr="00FE7FA1">
        <w:rPr>
          <w:rFonts w:asciiTheme="minorHAnsi" w:hAnsiTheme="minorHAnsi"/>
          <w:sz w:val="24"/>
          <w:szCs w:val="24"/>
        </w:rPr>
        <w:t>This report presents a comprehensive business analysis of Olist, Brazil's largest department store e-commerce platform, covering 99,441 orders processed between September 2016 and August 2018. Using Python (pandas, matplotlib, seaborn) and Jupyter Notebook, this analysis uncovers key performance trends across delivery operations, customer satisfaction, revenue growth, and seller performance.</w:t>
      </w:r>
    </w:p>
    <w:p w14:paraId="74369DED" w14:textId="77777777" w:rsidR="006823D5" w:rsidRPr="00FE7FA1" w:rsidRDefault="00DA240A" w:rsidP="00FE7FA1">
      <w:pPr>
        <w:spacing w:before="80" w:after="80"/>
        <w:jc w:val="both"/>
        <w:rPr>
          <w:rFonts w:asciiTheme="minorHAnsi" w:hAnsiTheme="minorHAnsi"/>
          <w:sz w:val="24"/>
          <w:szCs w:val="24"/>
        </w:rPr>
      </w:pPr>
      <w:r w:rsidRPr="00FE7FA1">
        <w:rPr>
          <w:rFonts w:asciiTheme="minorHAnsi" w:hAnsiTheme="minorHAnsi"/>
          <w:sz w:val="24"/>
          <w:szCs w:val="24"/>
        </w:rPr>
        <w:t>The analysis identifies late delivery as the single most critical driver of customer dissatisfaction, quantifies revenue growth of 40x over two years, and highlights strategic opportunities in seller performance optimization and category expansion.</w:t>
      </w:r>
    </w:p>
    <w:p w14:paraId="74369DEF" w14:textId="19C71B4E" w:rsidR="006823D5" w:rsidRPr="00FE7FA1" w:rsidRDefault="00DA240A">
      <w:pPr>
        <w:pStyle w:val="Heading1"/>
        <w:spacing w:before="300" w:after="150"/>
        <w:rPr>
          <w:rFonts w:asciiTheme="majorHAnsi" w:hAnsiTheme="majorHAnsi"/>
          <w:color w:val="auto"/>
          <w:sz w:val="28"/>
          <w:szCs w:val="28"/>
        </w:rPr>
      </w:pPr>
      <w:r w:rsidRPr="00FE7FA1">
        <w:rPr>
          <w:rFonts w:asciiTheme="majorHAnsi" w:hAnsiTheme="majorHAnsi"/>
          <w:b/>
          <w:bCs/>
          <w:color w:val="auto"/>
          <w:sz w:val="28"/>
          <w:szCs w:val="28"/>
        </w:rPr>
        <w:t>2. Key Business Metrics</w:t>
      </w:r>
      <w:r w:rsidR="00FE7FA1">
        <w:rPr>
          <w:rFonts w:asciiTheme="majorHAnsi" w:hAnsiTheme="majorHAnsi"/>
          <w:b/>
          <w:bCs/>
          <w:color w:val="auto"/>
          <w:sz w:val="28"/>
          <w:szCs w:val="28"/>
        </w:rPr>
        <w:t>:</w:t>
      </w:r>
    </w:p>
    <w:p w14:paraId="74369DF0" w14:textId="77777777" w:rsidR="006823D5" w:rsidRDefault="006823D5">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23D5" w14:paraId="74369DF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50" w:type="dxa"/>
              <w:bottom w:w="120" w:type="dxa"/>
              <w:right w:w="150" w:type="dxa"/>
            </w:tcMar>
          </w:tcPr>
          <w:p w14:paraId="74369DF1" w14:textId="77777777" w:rsidR="006823D5" w:rsidRPr="00FE7FA1" w:rsidRDefault="00DA240A">
            <w:pPr>
              <w:rPr>
                <w:rFonts w:asciiTheme="minorHAnsi" w:hAnsiTheme="minorHAnsi"/>
              </w:rPr>
            </w:pPr>
            <w:r w:rsidRPr="00FE7FA1">
              <w:rPr>
                <w:rFonts w:asciiTheme="minorHAnsi" w:hAnsiTheme="minorHAnsi"/>
                <w:b/>
                <w:bCs/>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50" w:type="dxa"/>
              <w:bottom w:w="120" w:type="dxa"/>
              <w:right w:w="150" w:type="dxa"/>
            </w:tcMar>
          </w:tcPr>
          <w:p w14:paraId="74369DF2" w14:textId="77777777" w:rsidR="006823D5" w:rsidRPr="00FE7FA1" w:rsidRDefault="00DA240A">
            <w:pPr>
              <w:jc w:val="center"/>
              <w:rPr>
                <w:rFonts w:asciiTheme="minorHAnsi" w:hAnsiTheme="minorHAnsi"/>
              </w:rPr>
            </w:pPr>
            <w:r w:rsidRPr="00FE7FA1">
              <w:rPr>
                <w:rFonts w:asciiTheme="minorHAnsi" w:hAnsiTheme="minorHAnsi"/>
                <w:b/>
                <w:bCs/>
              </w:rPr>
              <w:t>Value</w:t>
            </w:r>
          </w:p>
        </w:tc>
      </w:tr>
      <w:tr w:rsidR="006823D5" w14:paraId="74369DF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50" w:type="dxa"/>
              <w:bottom w:w="100" w:type="dxa"/>
              <w:right w:w="150" w:type="dxa"/>
            </w:tcMar>
          </w:tcPr>
          <w:p w14:paraId="74369DF4" w14:textId="77777777" w:rsidR="006823D5" w:rsidRPr="00FE7FA1" w:rsidRDefault="00DA240A">
            <w:pPr>
              <w:rPr>
                <w:rFonts w:asciiTheme="minorHAnsi" w:hAnsiTheme="minorHAnsi"/>
              </w:rPr>
            </w:pPr>
            <w:r w:rsidRPr="00FE7FA1">
              <w:rPr>
                <w:rFonts w:asciiTheme="minorHAnsi" w:hAnsiTheme="minorHAnsi"/>
                <w:b/>
                <w:bCs/>
              </w:rPr>
              <w:t>Total Orders Analyzed</w:t>
            </w:r>
          </w:p>
        </w:tc>
        <w:tc>
          <w:tcPr>
            <w:tcW w:w="4680" w:type="dxa"/>
            <w:tcBorders>
              <w:top w:val="single" w:sz="1" w:space="0" w:color="CCCCCC"/>
              <w:left w:val="single" w:sz="1" w:space="0" w:color="CCCCCC"/>
              <w:bottom w:val="single" w:sz="1" w:space="0" w:color="CCCCCC"/>
              <w:right w:val="single" w:sz="1" w:space="0" w:color="CCCCCC"/>
            </w:tcBorders>
            <w:shd w:val="clear" w:color="auto" w:fill="EBF5EB"/>
            <w:tcMar>
              <w:top w:w="100" w:type="dxa"/>
              <w:left w:w="150" w:type="dxa"/>
              <w:bottom w:w="100" w:type="dxa"/>
              <w:right w:w="150" w:type="dxa"/>
            </w:tcMar>
          </w:tcPr>
          <w:p w14:paraId="74369DF5" w14:textId="77777777" w:rsidR="006823D5" w:rsidRPr="00FE7FA1" w:rsidRDefault="00DA240A">
            <w:pPr>
              <w:jc w:val="center"/>
              <w:rPr>
                <w:rFonts w:asciiTheme="minorHAnsi" w:hAnsiTheme="minorHAnsi"/>
              </w:rPr>
            </w:pPr>
            <w:r w:rsidRPr="00FE7FA1">
              <w:rPr>
                <w:rFonts w:asciiTheme="minorHAnsi" w:hAnsiTheme="minorHAnsi"/>
                <w:b/>
                <w:bCs/>
              </w:rPr>
              <w:t>99,441</w:t>
            </w:r>
          </w:p>
        </w:tc>
      </w:tr>
      <w:tr w:rsidR="006823D5" w14:paraId="74369DF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50" w:type="dxa"/>
              <w:bottom w:w="100" w:type="dxa"/>
              <w:right w:w="150" w:type="dxa"/>
            </w:tcMar>
          </w:tcPr>
          <w:p w14:paraId="74369DF7" w14:textId="77777777" w:rsidR="006823D5" w:rsidRPr="00FE7FA1" w:rsidRDefault="00DA240A">
            <w:pPr>
              <w:rPr>
                <w:rFonts w:asciiTheme="minorHAnsi" w:hAnsiTheme="minorHAnsi"/>
              </w:rPr>
            </w:pPr>
            <w:r w:rsidRPr="00FE7FA1">
              <w:rPr>
                <w:rFonts w:asciiTheme="minorHAnsi" w:hAnsiTheme="minorHAnsi"/>
                <w:b/>
                <w:bCs/>
              </w:rPr>
              <w:t>Total Revenue Generated</w:t>
            </w:r>
          </w:p>
        </w:tc>
        <w:tc>
          <w:tcPr>
            <w:tcW w:w="4680" w:type="dxa"/>
            <w:tcBorders>
              <w:top w:val="single" w:sz="1" w:space="0" w:color="CCCCCC"/>
              <w:left w:val="single" w:sz="1" w:space="0" w:color="CCCCCC"/>
              <w:bottom w:val="single" w:sz="1" w:space="0" w:color="CCCCCC"/>
              <w:right w:val="single" w:sz="1" w:space="0" w:color="CCCCCC"/>
            </w:tcBorders>
            <w:shd w:val="clear" w:color="auto" w:fill="EBF5EB"/>
            <w:tcMar>
              <w:top w:w="100" w:type="dxa"/>
              <w:left w:w="150" w:type="dxa"/>
              <w:bottom w:w="100" w:type="dxa"/>
              <w:right w:w="150" w:type="dxa"/>
            </w:tcMar>
          </w:tcPr>
          <w:p w14:paraId="74369DF8" w14:textId="77777777" w:rsidR="006823D5" w:rsidRPr="00FE7FA1" w:rsidRDefault="00DA240A">
            <w:pPr>
              <w:jc w:val="center"/>
              <w:rPr>
                <w:rFonts w:asciiTheme="minorHAnsi" w:hAnsiTheme="minorHAnsi"/>
              </w:rPr>
            </w:pPr>
            <w:r w:rsidRPr="00FE7FA1">
              <w:rPr>
                <w:rFonts w:asciiTheme="minorHAnsi" w:hAnsiTheme="minorHAnsi"/>
                <w:b/>
                <w:bCs/>
              </w:rPr>
              <w:t>R$ 15,422,461</w:t>
            </w:r>
          </w:p>
        </w:tc>
      </w:tr>
      <w:tr w:rsidR="006823D5" w14:paraId="74369DF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50" w:type="dxa"/>
              <w:bottom w:w="100" w:type="dxa"/>
              <w:right w:w="150" w:type="dxa"/>
            </w:tcMar>
          </w:tcPr>
          <w:p w14:paraId="74369DFA" w14:textId="77777777" w:rsidR="006823D5" w:rsidRPr="00FE7FA1" w:rsidRDefault="00DA240A">
            <w:pPr>
              <w:rPr>
                <w:rFonts w:asciiTheme="minorHAnsi" w:hAnsiTheme="minorHAnsi"/>
              </w:rPr>
            </w:pPr>
            <w:r w:rsidRPr="00FE7FA1">
              <w:rPr>
                <w:rFonts w:asciiTheme="minorHAnsi" w:hAnsiTheme="minorHAnsi"/>
                <w:b/>
                <w:bCs/>
              </w:rPr>
              <w:t>Average Order Value</w:t>
            </w:r>
          </w:p>
        </w:tc>
        <w:tc>
          <w:tcPr>
            <w:tcW w:w="4680" w:type="dxa"/>
            <w:tcBorders>
              <w:top w:val="single" w:sz="1" w:space="0" w:color="CCCCCC"/>
              <w:left w:val="single" w:sz="1" w:space="0" w:color="CCCCCC"/>
              <w:bottom w:val="single" w:sz="1" w:space="0" w:color="CCCCCC"/>
              <w:right w:val="single" w:sz="1" w:space="0" w:color="CCCCCC"/>
            </w:tcBorders>
            <w:shd w:val="clear" w:color="auto" w:fill="EBF5EB"/>
            <w:tcMar>
              <w:top w:w="100" w:type="dxa"/>
              <w:left w:w="150" w:type="dxa"/>
              <w:bottom w:w="100" w:type="dxa"/>
              <w:right w:w="150" w:type="dxa"/>
            </w:tcMar>
          </w:tcPr>
          <w:p w14:paraId="74369DFB" w14:textId="77777777" w:rsidR="006823D5" w:rsidRPr="00FE7FA1" w:rsidRDefault="00DA240A">
            <w:pPr>
              <w:jc w:val="center"/>
              <w:rPr>
                <w:rFonts w:asciiTheme="minorHAnsi" w:hAnsiTheme="minorHAnsi"/>
              </w:rPr>
            </w:pPr>
            <w:r w:rsidRPr="00FE7FA1">
              <w:rPr>
                <w:rFonts w:asciiTheme="minorHAnsi" w:hAnsiTheme="minorHAnsi"/>
                <w:b/>
                <w:bCs/>
              </w:rPr>
              <w:t>R$ 153.07</w:t>
            </w:r>
          </w:p>
        </w:tc>
      </w:tr>
      <w:tr w:rsidR="006823D5" w14:paraId="74369DF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50" w:type="dxa"/>
              <w:bottom w:w="100" w:type="dxa"/>
              <w:right w:w="150" w:type="dxa"/>
            </w:tcMar>
          </w:tcPr>
          <w:p w14:paraId="74369DFD" w14:textId="77777777" w:rsidR="006823D5" w:rsidRPr="00FE7FA1" w:rsidRDefault="00DA240A">
            <w:pPr>
              <w:rPr>
                <w:rFonts w:asciiTheme="minorHAnsi" w:hAnsiTheme="minorHAnsi"/>
              </w:rPr>
            </w:pPr>
            <w:r w:rsidRPr="00FE7FA1">
              <w:rPr>
                <w:rFonts w:asciiTheme="minorHAnsi" w:hAnsiTheme="minorHAnsi"/>
                <w:b/>
                <w:bCs/>
              </w:rPr>
              <w:t>On-Time Delivery Rate</w:t>
            </w:r>
          </w:p>
        </w:tc>
        <w:tc>
          <w:tcPr>
            <w:tcW w:w="4680" w:type="dxa"/>
            <w:tcBorders>
              <w:top w:val="single" w:sz="1" w:space="0" w:color="CCCCCC"/>
              <w:left w:val="single" w:sz="1" w:space="0" w:color="CCCCCC"/>
              <w:bottom w:val="single" w:sz="1" w:space="0" w:color="CCCCCC"/>
              <w:right w:val="single" w:sz="1" w:space="0" w:color="CCCCCC"/>
            </w:tcBorders>
            <w:shd w:val="clear" w:color="auto" w:fill="EBF5EB"/>
            <w:tcMar>
              <w:top w:w="100" w:type="dxa"/>
              <w:left w:w="150" w:type="dxa"/>
              <w:bottom w:w="100" w:type="dxa"/>
              <w:right w:w="150" w:type="dxa"/>
            </w:tcMar>
          </w:tcPr>
          <w:p w14:paraId="74369DFE" w14:textId="77777777" w:rsidR="006823D5" w:rsidRPr="00FE7FA1" w:rsidRDefault="00DA240A">
            <w:pPr>
              <w:jc w:val="center"/>
              <w:rPr>
                <w:rFonts w:asciiTheme="minorHAnsi" w:hAnsiTheme="minorHAnsi"/>
              </w:rPr>
            </w:pPr>
            <w:r w:rsidRPr="00FE7FA1">
              <w:rPr>
                <w:rFonts w:asciiTheme="minorHAnsi" w:hAnsiTheme="minorHAnsi"/>
                <w:b/>
                <w:bCs/>
              </w:rPr>
              <w:t>93.2%</w:t>
            </w:r>
          </w:p>
        </w:tc>
      </w:tr>
      <w:tr w:rsidR="006823D5" w14:paraId="74369E0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50" w:type="dxa"/>
              <w:bottom w:w="100" w:type="dxa"/>
              <w:right w:w="150" w:type="dxa"/>
            </w:tcMar>
          </w:tcPr>
          <w:p w14:paraId="74369E00" w14:textId="77777777" w:rsidR="006823D5" w:rsidRPr="00FE7FA1" w:rsidRDefault="00DA240A">
            <w:pPr>
              <w:rPr>
                <w:rFonts w:asciiTheme="minorHAnsi" w:hAnsiTheme="minorHAnsi"/>
              </w:rPr>
            </w:pPr>
            <w:r w:rsidRPr="00FE7FA1">
              <w:rPr>
                <w:rFonts w:asciiTheme="minorHAnsi" w:hAnsiTheme="minorHAnsi"/>
                <w:b/>
                <w:bCs/>
              </w:rPr>
              <w:t>Late Deliveries</w:t>
            </w:r>
          </w:p>
        </w:tc>
        <w:tc>
          <w:tcPr>
            <w:tcW w:w="4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50" w:type="dxa"/>
              <w:bottom w:w="100" w:type="dxa"/>
              <w:right w:w="150" w:type="dxa"/>
            </w:tcMar>
          </w:tcPr>
          <w:p w14:paraId="74369E01" w14:textId="77777777" w:rsidR="006823D5" w:rsidRPr="00FE7FA1" w:rsidRDefault="00DA240A">
            <w:pPr>
              <w:jc w:val="center"/>
              <w:rPr>
                <w:rFonts w:asciiTheme="minorHAnsi" w:hAnsiTheme="minorHAnsi"/>
              </w:rPr>
            </w:pPr>
            <w:r w:rsidRPr="00FE7FA1">
              <w:rPr>
                <w:rFonts w:asciiTheme="minorHAnsi" w:hAnsiTheme="minorHAnsi"/>
                <w:b/>
                <w:bCs/>
              </w:rPr>
              <w:t>6,534 orders (6.8%)</w:t>
            </w:r>
          </w:p>
        </w:tc>
      </w:tr>
      <w:tr w:rsidR="006823D5" w14:paraId="74369E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50" w:type="dxa"/>
              <w:bottom w:w="100" w:type="dxa"/>
              <w:right w:w="150" w:type="dxa"/>
            </w:tcMar>
          </w:tcPr>
          <w:p w14:paraId="74369E03" w14:textId="77777777" w:rsidR="006823D5" w:rsidRPr="00FE7FA1" w:rsidRDefault="00DA240A">
            <w:pPr>
              <w:rPr>
                <w:rFonts w:asciiTheme="minorHAnsi" w:hAnsiTheme="minorHAnsi"/>
              </w:rPr>
            </w:pPr>
            <w:r w:rsidRPr="00FE7FA1">
              <w:rPr>
                <w:rFonts w:asciiTheme="minorHAnsi" w:hAnsiTheme="minorHAnsi"/>
                <w:b/>
                <w:bCs/>
              </w:rPr>
              <w:t>Average Delay (Late Orders)</w:t>
            </w:r>
          </w:p>
        </w:tc>
        <w:tc>
          <w:tcPr>
            <w:tcW w:w="4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50" w:type="dxa"/>
              <w:bottom w:w="100" w:type="dxa"/>
              <w:right w:w="150" w:type="dxa"/>
            </w:tcMar>
          </w:tcPr>
          <w:p w14:paraId="74369E04" w14:textId="77777777" w:rsidR="006823D5" w:rsidRPr="00FE7FA1" w:rsidRDefault="00DA240A">
            <w:pPr>
              <w:jc w:val="center"/>
              <w:rPr>
                <w:rFonts w:asciiTheme="minorHAnsi" w:hAnsiTheme="minorHAnsi"/>
              </w:rPr>
            </w:pPr>
            <w:r w:rsidRPr="00FE7FA1">
              <w:rPr>
                <w:rFonts w:asciiTheme="minorHAnsi" w:hAnsiTheme="minorHAnsi"/>
                <w:b/>
                <w:bCs/>
              </w:rPr>
              <w:t>10.6 days</w:t>
            </w:r>
          </w:p>
        </w:tc>
      </w:tr>
      <w:tr w:rsidR="006823D5" w14:paraId="74369E0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50" w:type="dxa"/>
              <w:bottom w:w="100" w:type="dxa"/>
              <w:right w:w="150" w:type="dxa"/>
            </w:tcMar>
          </w:tcPr>
          <w:p w14:paraId="74369E06" w14:textId="77777777" w:rsidR="006823D5" w:rsidRPr="00FE7FA1" w:rsidRDefault="00DA240A">
            <w:pPr>
              <w:rPr>
                <w:rFonts w:asciiTheme="minorHAnsi" w:hAnsiTheme="minorHAnsi"/>
              </w:rPr>
            </w:pPr>
            <w:r w:rsidRPr="00FE7FA1">
              <w:rPr>
                <w:rFonts w:asciiTheme="minorHAnsi" w:hAnsiTheme="minorHAnsi"/>
                <w:b/>
                <w:bCs/>
              </w:rPr>
              <w:t>Overall Customer Rating</w:t>
            </w:r>
          </w:p>
        </w:tc>
        <w:tc>
          <w:tcPr>
            <w:tcW w:w="4680" w:type="dxa"/>
            <w:tcBorders>
              <w:top w:val="single" w:sz="1" w:space="0" w:color="CCCCCC"/>
              <w:left w:val="single" w:sz="1" w:space="0" w:color="CCCCCC"/>
              <w:bottom w:val="single" w:sz="1" w:space="0" w:color="CCCCCC"/>
              <w:right w:val="single" w:sz="1" w:space="0" w:color="CCCCCC"/>
            </w:tcBorders>
            <w:shd w:val="clear" w:color="auto" w:fill="EBF5EB"/>
            <w:tcMar>
              <w:top w:w="100" w:type="dxa"/>
              <w:left w:w="150" w:type="dxa"/>
              <w:bottom w:w="100" w:type="dxa"/>
              <w:right w:w="150" w:type="dxa"/>
            </w:tcMar>
          </w:tcPr>
          <w:p w14:paraId="74369E07" w14:textId="77777777" w:rsidR="006823D5" w:rsidRPr="00FE7FA1" w:rsidRDefault="00DA240A">
            <w:pPr>
              <w:jc w:val="center"/>
              <w:rPr>
                <w:rFonts w:asciiTheme="minorHAnsi" w:hAnsiTheme="minorHAnsi"/>
              </w:rPr>
            </w:pPr>
            <w:r w:rsidRPr="00FE7FA1">
              <w:rPr>
                <w:rFonts w:asciiTheme="minorHAnsi" w:hAnsiTheme="minorHAnsi"/>
                <w:b/>
                <w:bCs/>
              </w:rPr>
              <w:t>4.16 / 5.0</w:t>
            </w:r>
          </w:p>
        </w:tc>
      </w:tr>
      <w:tr w:rsidR="006823D5" w14:paraId="74369E0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50" w:type="dxa"/>
              <w:bottom w:w="100" w:type="dxa"/>
              <w:right w:w="150" w:type="dxa"/>
            </w:tcMar>
          </w:tcPr>
          <w:p w14:paraId="74369E09" w14:textId="77777777" w:rsidR="006823D5" w:rsidRPr="00FE7FA1" w:rsidRDefault="00DA240A">
            <w:pPr>
              <w:rPr>
                <w:rFonts w:asciiTheme="minorHAnsi" w:hAnsiTheme="minorHAnsi"/>
              </w:rPr>
            </w:pPr>
            <w:r w:rsidRPr="00FE7FA1">
              <w:rPr>
                <w:rFonts w:asciiTheme="minorHAnsi" w:hAnsiTheme="minorHAnsi"/>
                <w:b/>
                <w:bCs/>
              </w:rPr>
              <w:t>On-Time Delivery Rating</w:t>
            </w:r>
          </w:p>
        </w:tc>
        <w:tc>
          <w:tcPr>
            <w:tcW w:w="4680" w:type="dxa"/>
            <w:tcBorders>
              <w:top w:val="single" w:sz="1" w:space="0" w:color="CCCCCC"/>
              <w:left w:val="single" w:sz="1" w:space="0" w:color="CCCCCC"/>
              <w:bottom w:val="single" w:sz="1" w:space="0" w:color="CCCCCC"/>
              <w:right w:val="single" w:sz="1" w:space="0" w:color="CCCCCC"/>
            </w:tcBorders>
            <w:shd w:val="clear" w:color="auto" w:fill="EBF5EB"/>
            <w:tcMar>
              <w:top w:w="100" w:type="dxa"/>
              <w:left w:w="150" w:type="dxa"/>
              <w:bottom w:w="100" w:type="dxa"/>
              <w:right w:w="150" w:type="dxa"/>
            </w:tcMar>
          </w:tcPr>
          <w:p w14:paraId="74369E0A" w14:textId="77777777" w:rsidR="006823D5" w:rsidRPr="00FE7FA1" w:rsidRDefault="00DA240A">
            <w:pPr>
              <w:jc w:val="center"/>
              <w:rPr>
                <w:rFonts w:asciiTheme="minorHAnsi" w:hAnsiTheme="minorHAnsi"/>
              </w:rPr>
            </w:pPr>
            <w:r w:rsidRPr="00FE7FA1">
              <w:rPr>
                <w:rFonts w:asciiTheme="minorHAnsi" w:hAnsiTheme="minorHAnsi"/>
                <w:b/>
                <w:bCs/>
              </w:rPr>
              <w:t>4.29 / 5.0</w:t>
            </w:r>
          </w:p>
        </w:tc>
      </w:tr>
      <w:tr w:rsidR="006823D5" w14:paraId="74369E0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50" w:type="dxa"/>
              <w:bottom w:w="100" w:type="dxa"/>
              <w:right w:w="150" w:type="dxa"/>
            </w:tcMar>
          </w:tcPr>
          <w:p w14:paraId="74369E0C" w14:textId="77777777" w:rsidR="006823D5" w:rsidRPr="00FE7FA1" w:rsidRDefault="00DA240A">
            <w:pPr>
              <w:rPr>
                <w:rFonts w:asciiTheme="minorHAnsi" w:hAnsiTheme="minorHAnsi"/>
              </w:rPr>
            </w:pPr>
            <w:r w:rsidRPr="00FE7FA1">
              <w:rPr>
                <w:rFonts w:asciiTheme="minorHAnsi" w:hAnsiTheme="minorHAnsi"/>
                <w:b/>
                <w:bCs/>
              </w:rPr>
              <w:t>Late Delivery Rating</w:t>
            </w:r>
          </w:p>
        </w:tc>
        <w:tc>
          <w:tcPr>
            <w:tcW w:w="4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50" w:type="dxa"/>
              <w:bottom w:w="100" w:type="dxa"/>
              <w:right w:w="150" w:type="dxa"/>
            </w:tcMar>
          </w:tcPr>
          <w:p w14:paraId="74369E0D" w14:textId="77777777" w:rsidR="006823D5" w:rsidRPr="00FE7FA1" w:rsidRDefault="00DA240A">
            <w:pPr>
              <w:jc w:val="center"/>
              <w:rPr>
                <w:rFonts w:asciiTheme="minorHAnsi" w:hAnsiTheme="minorHAnsi"/>
              </w:rPr>
            </w:pPr>
            <w:r w:rsidRPr="00FE7FA1">
              <w:rPr>
                <w:rFonts w:asciiTheme="minorHAnsi" w:hAnsiTheme="minorHAnsi"/>
                <w:b/>
                <w:bCs/>
              </w:rPr>
              <w:t>2.27 / 5.0</w:t>
            </w:r>
          </w:p>
        </w:tc>
      </w:tr>
      <w:tr w:rsidR="006823D5" w14:paraId="74369E1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50" w:type="dxa"/>
              <w:bottom w:w="100" w:type="dxa"/>
              <w:right w:w="150" w:type="dxa"/>
            </w:tcMar>
          </w:tcPr>
          <w:p w14:paraId="74369E0F" w14:textId="77777777" w:rsidR="006823D5" w:rsidRPr="00FE7FA1" w:rsidRDefault="00DA240A">
            <w:pPr>
              <w:rPr>
                <w:rFonts w:asciiTheme="minorHAnsi" w:hAnsiTheme="minorHAnsi"/>
              </w:rPr>
            </w:pPr>
            <w:r w:rsidRPr="00FE7FA1">
              <w:rPr>
                <w:rFonts w:asciiTheme="minorHAnsi" w:hAnsiTheme="minorHAnsi"/>
                <w:b/>
                <w:bCs/>
              </w:rPr>
              <w:t>Total Active Sellers</w:t>
            </w:r>
          </w:p>
        </w:tc>
        <w:tc>
          <w:tcPr>
            <w:tcW w:w="4680" w:type="dxa"/>
            <w:tcBorders>
              <w:top w:val="single" w:sz="1" w:space="0" w:color="CCCCCC"/>
              <w:left w:val="single" w:sz="1" w:space="0" w:color="CCCCCC"/>
              <w:bottom w:val="single" w:sz="1" w:space="0" w:color="CCCCCC"/>
              <w:right w:val="single" w:sz="1" w:space="0" w:color="CCCCCC"/>
            </w:tcBorders>
            <w:shd w:val="clear" w:color="auto" w:fill="EBF5EB"/>
            <w:tcMar>
              <w:top w:w="100" w:type="dxa"/>
              <w:left w:w="150" w:type="dxa"/>
              <w:bottom w:w="100" w:type="dxa"/>
              <w:right w:w="150" w:type="dxa"/>
            </w:tcMar>
          </w:tcPr>
          <w:p w14:paraId="74369E10" w14:textId="77777777" w:rsidR="006823D5" w:rsidRPr="00FE7FA1" w:rsidRDefault="00DA240A">
            <w:pPr>
              <w:jc w:val="center"/>
              <w:rPr>
                <w:rFonts w:asciiTheme="minorHAnsi" w:hAnsiTheme="minorHAnsi"/>
              </w:rPr>
            </w:pPr>
            <w:r w:rsidRPr="00FE7FA1">
              <w:rPr>
                <w:rFonts w:asciiTheme="minorHAnsi" w:hAnsiTheme="minorHAnsi"/>
                <w:b/>
                <w:bCs/>
              </w:rPr>
              <w:t>3,095</w:t>
            </w:r>
          </w:p>
        </w:tc>
      </w:tr>
      <w:tr w:rsidR="006823D5" w14:paraId="74369E1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50" w:type="dxa"/>
              <w:bottom w:w="100" w:type="dxa"/>
              <w:right w:w="150" w:type="dxa"/>
            </w:tcMar>
          </w:tcPr>
          <w:p w14:paraId="74369E12" w14:textId="77777777" w:rsidR="006823D5" w:rsidRPr="00FE7FA1" w:rsidRDefault="00DA240A">
            <w:pPr>
              <w:rPr>
                <w:rFonts w:asciiTheme="minorHAnsi" w:hAnsiTheme="minorHAnsi"/>
              </w:rPr>
            </w:pPr>
            <w:r w:rsidRPr="00FE7FA1">
              <w:rPr>
                <w:rFonts w:asciiTheme="minorHAnsi" w:hAnsiTheme="minorHAnsi"/>
                <w:b/>
                <w:bCs/>
              </w:rPr>
              <w:t>Top Payment Method</w:t>
            </w:r>
          </w:p>
        </w:tc>
        <w:tc>
          <w:tcPr>
            <w:tcW w:w="4680" w:type="dxa"/>
            <w:tcBorders>
              <w:top w:val="single" w:sz="1" w:space="0" w:color="CCCCCC"/>
              <w:left w:val="single" w:sz="1" w:space="0" w:color="CCCCCC"/>
              <w:bottom w:val="single" w:sz="1" w:space="0" w:color="CCCCCC"/>
              <w:right w:val="single" w:sz="1" w:space="0" w:color="CCCCCC"/>
            </w:tcBorders>
            <w:shd w:val="clear" w:color="auto" w:fill="EBF5EB"/>
            <w:tcMar>
              <w:top w:w="100" w:type="dxa"/>
              <w:left w:w="150" w:type="dxa"/>
              <w:bottom w:w="100" w:type="dxa"/>
              <w:right w:w="150" w:type="dxa"/>
            </w:tcMar>
          </w:tcPr>
          <w:p w14:paraId="74369E13" w14:textId="77777777" w:rsidR="006823D5" w:rsidRPr="00FE7FA1" w:rsidRDefault="00DA240A">
            <w:pPr>
              <w:jc w:val="center"/>
              <w:rPr>
                <w:rFonts w:asciiTheme="minorHAnsi" w:hAnsiTheme="minorHAnsi"/>
              </w:rPr>
            </w:pPr>
            <w:r w:rsidRPr="00FE7FA1">
              <w:rPr>
                <w:rFonts w:asciiTheme="minorHAnsi" w:hAnsiTheme="minorHAnsi"/>
                <w:b/>
                <w:bCs/>
              </w:rPr>
              <w:t>Credit Card (73.5%)</w:t>
            </w:r>
          </w:p>
        </w:tc>
      </w:tr>
      <w:tr w:rsidR="006823D5" w14:paraId="74369E1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100" w:type="dxa"/>
              <w:left w:w="150" w:type="dxa"/>
              <w:bottom w:w="100" w:type="dxa"/>
              <w:right w:w="150" w:type="dxa"/>
            </w:tcMar>
          </w:tcPr>
          <w:p w14:paraId="74369E15" w14:textId="77777777" w:rsidR="006823D5" w:rsidRPr="00FE7FA1" w:rsidRDefault="00DA240A">
            <w:pPr>
              <w:rPr>
                <w:rFonts w:asciiTheme="minorHAnsi" w:hAnsiTheme="minorHAnsi"/>
              </w:rPr>
            </w:pPr>
            <w:r w:rsidRPr="00FE7FA1">
              <w:rPr>
                <w:rFonts w:asciiTheme="minorHAnsi" w:hAnsiTheme="minorHAnsi"/>
                <w:b/>
                <w:bCs/>
              </w:rPr>
              <w:t>Top Product Category</w:t>
            </w:r>
          </w:p>
        </w:tc>
        <w:tc>
          <w:tcPr>
            <w:tcW w:w="4680" w:type="dxa"/>
            <w:tcBorders>
              <w:top w:val="single" w:sz="1" w:space="0" w:color="CCCCCC"/>
              <w:left w:val="single" w:sz="1" w:space="0" w:color="CCCCCC"/>
              <w:bottom w:val="single" w:sz="1" w:space="0" w:color="CCCCCC"/>
              <w:right w:val="single" w:sz="1" w:space="0" w:color="CCCCCC"/>
            </w:tcBorders>
            <w:shd w:val="clear" w:color="auto" w:fill="EBF5EB"/>
            <w:tcMar>
              <w:top w:w="100" w:type="dxa"/>
              <w:left w:w="150" w:type="dxa"/>
              <w:bottom w:w="100" w:type="dxa"/>
              <w:right w:w="150" w:type="dxa"/>
            </w:tcMar>
          </w:tcPr>
          <w:p w14:paraId="74369E16" w14:textId="77777777" w:rsidR="006823D5" w:rsidRPr="00FE7FA1" w:rsidRDefault="00DA240A">
            <w:pPr>
              <w:jc w:val="center"/>
              <w:rPr>
                <w:rFonts w:asciiTheme="minorHAnsi" w:hAnsiTheme="minorHAnsi"/>
              </w:rPr>
            </w:pPr>
            <w:r w:rsidRPr="00FE7FA1">
              <w:rPr>
                <w:rFonts w:asciiTheme="minorHAnsi" w:hAnsiTheme="minorHAnsi"/>
                <w:b/>
                <w:bCs/>
              </w:rPr>
              <w:t>Bed, Bath &amp; Table (11,115 orders)</w:t>
            </w:r>
          </w:p>
        </w:tc>
      </w:tr>
    </w:tbl>
    <w:p w14:paraId="74369E1A" w14:textId="5944F323" w:rsidR="006823D5" w:rsidRPr="00FE7FA1" w:rsidRDefault="00DA240A">
      <w:pPr>
        <w:pStyle w:val="Heading1"/>
        <w:spacing w:before="300" w:after="150"/>
        <w:rPr>
          <w:rFonts w:asciiTheme="majorHAnsi" w:hAnsiTheme="majorHAnsi"/>
          <w:color w:val="auto"/>
          <w:sz w:val="28"/>
          <w:szCs w:val="28"/>
        </w:rPr>
      </w:pPr>
      <w:r w:rsidRPr="00FE7FA1">
        <w:rPr>
          <w:rFonts w:asciiTheme="majorHAnsi" w:hAnsiTheme="majorHAnsi"/>
          <w:b/>
          <w:bCs/>
          <w:color w:val="auto"/>
          <w:sz w:val="28"/>
          <w:szCs w:val="28"/>
        </w:rPr>
        <w:lastRenderedPageBreak/>
        <w:t>3. Key Findings &amp; Business Insights</w:t>
      </w:r>
      <w:r w:rsidR="00FE7FA1" w:rsidRPr="00FE7FA1">
        <w:rPr>
          <w:rFonts w:asciiTheme="majorHAnsi" w:hAnsiTheme="majorHAnsi"/>
          <w:b/>
          <w:bCs/>
          <w:color w:val="auto"/>
          <w:sz w:val="28"/>
          <w:szCs w:val="28"/>
        </w:rPr>
        <w:t>:</w:t>
      </w:r>
    </w:p>
    <w:p w14:paraId="74369E1B" w14:textId="77777777" w:rsidR="006823D5" w:rsidRPr="00FE7FA1" w:rsidRDefault="00DA240A">
      <w:pPr>
        <w:pStyle w:val="Heading2"/>
        <w:spacing w:before="200" w:after="100"/>
        <w:rPr>
          <w:rFonts w:asciiTheme="minorHAnsi" w:hAnsiTheme="minorHAnsi"/>
          <w:color w:val="auto"/>
          <w:sz w:val="24"/>
          <w:szCs w:val="24"/>
        </w:rPr>
      </w:pPr>
      <w:r w:rsidRPr="00FE7FA1">
        <w:rPr>
          <w:rFonts w:asciiTheme="minorHAnsi" w:hAnsiTheme="minorHAnsi"/>
          <w:b/>
          <w:bCs/>
          <w:color w:val="auto"/>
          <w:sz w:val="24"/>
          <w:szCs w:val="24"/>
        </w:rPr>
        <w:t>3.1 Delivery Performance</w:t>
      </w:r>
    </w:p>
    <w:p w14:paraId="74369E1C" w14:textId="77777777" w:rsidR="006823D5" w:rsidRPr="00FE7FA1" w:rsidRDefault="00DA240A">
      <w:pPr>
        <w:spacing w:before="80" w:after="80"/>
        <w:rPr>
          <w:rFonts w:asciiTheme="minorHAnsi" w:hAnsiTheme="minorHAnsi"/>
          <w:sz w:val="24"/>
          <w:szCs w:val="24"/>
        </w:rPr>
      </w:pPr>
      <w:r w:rsidRPr="00FE7FA1">
        <w:rPr>
          <w:rFonts w:asciiTheme="minorHAnsi" w:hAnsiTheme="minorHAnsi"/>
          <w:sz w:val="24"/>
          <w:szCs w:val="24"/>
        </w:rPr>
        <w:t>Of 96,478 successfully delivered orders, 93.2% were delivered on time (89,936 orders) while 6.8% arrived late (6,534 orders). Late orders averaged 10.6 additional days beyond the promised delivery date, with the worst case being 188 days late — indicating a significant outlier in logistics management.</w:t>
      </w:r>
    </w:p>
    <w:p w14:paraId="74369E1D" w14:textId="77777777" w:rsidR="006823D5" w:rsidRPr="00FE7FA1" w:rsidRDefault="00DA240A">
      <w:pPr>
        <w:spacing w:before="80" w:after="80"/>
        <w:rPr>
          <w:rFonts w:asciiTheme="minorHAnsi" w:hAnsiTheme="minorHAnsi"/>
          <w:sz w:val="24"/>
          <w:szCs w:val="24"/>
        </w:rPr>
      </w:pPr>
      <w:r w:rsidRPr="00FE7FA1">
        <w:rPr>
          <w:rFonts w:asciiTheme="minorHAnsi" w:hAnsiTheme="minorHAnsi"/>
          <w:b/>
          <w:bCs/>
          <w:sz w:val="24"/>
          <w:szCs w:val="24"/>
        </w:rPr>
        <w:t>Key delivery findings:</w:t>
      </w:r>
    </w:p>
    <w:p w14:paraId="74369E1E"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1 in 15 customers receives their order late, representing a material customer experience risk</w:t>
      </w:r>
    </w:p>
    <w:p w14:paraId="74369E1F"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Average delay of 10.6 days for late orders is nearly 2 additional weeks beyond expectation</w:t>
      </w:r>
    </w:p>
    <w:p w14:paraId="74369E20"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A 188-day maximum delay suggests potential systemic failures in seller or carrier operations</w:t>
      </w:r>
    </w:p>
    <w:p w14:paraId="74369E21"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147-day early delivery flagged as a data quality anomaly in estimated delivery date setting</w:t>
      </w:r>
    </w:p>
    <w:p w14:paraId="74369E22" w14:textId="77777777" w:rsidR="006823D5" w:rsidRPr="00FE7FA1" w:rsidRDefault="006823D5">
      <w:pPr>
        <w:spacing w:before="120" w:after="80"/>
        <w:rPr>
          <w:rFonts w:asciiTheme="minorHAnsi" w:hAnsiTheme="minorHAnsi"/>
          <w:sz w:val="24"/>
          <w:szCs w:val="24"/>
        </w:rPr>
      </w:pPr>
    </w:p>
    <w:p w14:paraId="74369E23" w14:textId="03353593" w:rsidR="006823D5" w:rsidRPr="00FE7FA1" w:rsidRDefault="00DA240A">
      <w:pPr>
        <w:pStyle w:val="Heading2"/>
        <w:spacing w:before="200" w:after="100"/>
        <w:rPr>
          <w:rFonts w:asciiTheme="minorHAnsi" w:hAnsiTheme="minorHAnsi"/>
          <w:color w:val="auto"/>
          <w:sz w:val="24"/>
          <w:szCs w:val="24"/>
        </w:rPr>
      </w:pPr>
      <w:r w:rsidRPr="00FE7FA1">
        <w:rPr>
          <w:rFonts w:asciiTheme="minorHAnsi" w:hAnsiTheme="minorHAnsi"/>
          <w:b/>
          <w:bCs/>
          <w:color w:val="auto"/>
          <w:sz w:val="24"/>
          <w:szCs w:val="24"/>
        </w:rPr>
        <w:t>3.2 Customer Satisfaction Impact</w:t>
      </w:r>
      <w:r w:rsidR="00FE7FA1">
        <w:rPr>
          <w:rFonts w:asciiTheme="minorHAnsi" w:hAnsiTheme="minorHAnsi"/>
          <w:b/>
          <w:bCs/>
          <w:color w:val="auto"/>
          <w:sz w:val="24"/>
          <w:szCs w:val="24"/>
        </w:rPr>
        <w:t>:</w:t>
      </w:r>
    </w:p>
    <w:p w14:paraId="74369E24" w14:textId="77777777" w:rsidR="006823D5" w:rsidRPr="00FE7FA1" w:rsidRDefault="00DA240A">
      <w:pPr>
        <w:spacing w:before="80" w:after="80"/>
        <w:rPr>
          <w:rFonts w:asciiTheme="minorHAnsi" w:hAnsiTheme="minorHAnsi"/>
          <w:sz w:val="24"/>
          <w:szCs w:val="24"/>
        </w:rPr>
      </w:pPr>
      <w:r w:rsidRPr="00FE7FA1">
        <w:rPr>
          <w:rFonts w:asciiTheme="minorHAnsi" w:hAnsiTheme="minorHAnsi"/>
          <w:sz w:val="24"/>
          <w:szCs w:val="24"/>
        </w:rPr>
        <w:t>Late delivery has a severe and measurable impact on customer satisfaction. Customers who received on-time orders gave an average review score of 4.29 out of 5, while customers who received late orders gave an average of only 2.27 — a drop of 2.02 points, representing a 47% decline in satisfaction.</w:t>
      </w:r>
    </w:p>
    <w:p w14:paraId="74369E25" w14:textId="77777777" w:rsidR="006823D5" w:rsidRPr="00FE7FA1" w:rsidRDefault="00DA240A">
      <w:pPr>
        <w:spacing w:before="80" w:after="80"/>
        <w:rPr>
          <w:rFonts w:asciiTheme="minorHAnsi" w:hAnsiTheme="minorHAnsi"/>
          <w:sz w:val="24"/>
          <w:szCs w:val="24"/>
        </w:rPr>
      </w:pPr>
      <w:r w:rsidRPr="00FE7FA1">
        <w:rPr>
          <w:rFonts w:asciiTheme="minorHAnsi" w:hAnsiTheme="minorHAnsi"/>
          <w:b/>
          <w:bCs/>
          <w:sz w:val="24"/>
          <w:szCs w:val="24"/>
        </w:rPr>
        <w:t>The review distribution reveals a bimodal pattern:</w:t>
      </w:r>
    </w:p>
    <w:p w14:paraId="74369E26"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57,066 customers gave 5-star reviews (majority highly satisfied)</w:t>
      </w:r>
    </w:p>
    <w:p w14:paraId="74369E27"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9,406 customers gave 1-star reviews — more 1-star ratings than 2-star and 3-star combined</w:t>
      </w:r>
    </w:p>
    <w:p w14:paraId="74369E28"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This polarization strongly suggests late delivery as the primary trigger for the lowest ratings</w:t>
      </w:r>
    </w:p>
    <w:p w14:paraId="74369E29" w14:textId="77777777" w:rsidR="006823D5" w:rsidRPr="00FE7FA1" w:rsidRDefault="006823D5">
      <w:pPr>
        <w:spacing w:before="120" w:after="80"/>
        <w:rPr>
          <w:rFonts w:asciiTheme="minorHAnsi" w:hAnsiTheme="minorHAnsi"/>
          <w:sz w:val="24"/>
          <w:szCs w:val="24"/>
        </w:rPr>
      </w:pPr>
    </w:p>
    <w:p w14:paraId="74369E2A" w14:textId="0AF56520" w:rsidR="006823D5" w:rsidRPr="00FE7FA1" w:rsidRDefault="00DA240A">
      <w:pPr>
        <w:pStyle w:val="Heading2"/>
        <w:spacing w:before="200" w:after="100"/>
        <w:rPr>
          <w:rFonts w:asciiTheme="minorHAnsi" w:hAnsiTheme="minorHAnsi"/>
          <w:color w:val="auto"/>
          <w:sz w:val="24"/>
          <w:szCs w:val="24"/>
        </w:rPr>
      </w:pPr>
      <w:r w:rsidRPr="00FE7FA1">
        <w:rPr>
          <w:rFonts w:asciiTheme="minorHAnsi" w:hAnsiTheme="minorHAnsi"/>
          <w:b/>
          <w:bCs/>
          <w:color w:val="auto"/>
          <w:sz w:val="24"/>
          <w:szCs w:val="24"/>
        </w:rPr>
        <w:t>3.3 Revenue &amp; Growth Trends</w:t>
      </w:r>
      <w:r w:rsidR="00FE7FA1">
        <w:rPr>
          <w:rFonts w:asciiTheme="minorHAnsi" w:hAnsiTheme="minorHAnsi"/>
          <w:b/>
          <w:bCs/>
          <w:color w:val="auto"/>
          <w:sz w:val="24"/>
          <w:szCs w:val="24"/>
        </w:rPr>
        <w:t>:</w:t>
      </w:r>
    </w:p>
    <w:p w14:paraId="74369E2B" w14:textId="77777777" w:rsidR="006823D5" w:rsidRPr="00FE7FA1" w:rsidRDefault="00DA240A">
      <w:pPr>
        <w:spacing w:before="80" w:after="80"/>
        <w:rPr>
          <w:rFonts w:asciiTheme="minorHAnsi" w:hAnsiTheme="minorHAnsi"/>
          <w:sz w:val="24"/>
          <w:szCs w:val="24"/>
        </w:rPr>
      </w:pPr>
      <w:r w:rsidRPr="00FE7FA1">
        <w:rPr>
          <w:rFonts w:asciiTheme="minorHAnsi" w:hAnsiTheme="minorHAnsi"/>
          <w:sz w:val="24"/>
          <w:szCs w:val="24"/>
        </w:rPr>
        <w:t>Olist demonstrated extraordinary growth over the analysis period, scaling from near-zero orders in September 2016 to over 7,000 orders per month by November 2017 — a 40x increase in 14 months. By 2018, the business stabilized at 6,000–7,000 monthly orders, indicating a maturing operation.</w:t>
      </w:r>
    </w:p>
    <w:p w14:paraId="74369E2C"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Black Friday 2017 (November) produced a 2x month-over-month order spike to ~7,000 orders</w:t>
      </w:r>
    </w:p>
    <w:p w14:paraId="74369E2D"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Post-holiday December 2017 dip is consistent with seasonal e-commerce patterns globally</w:t>
      </w:r>
    </w:p>
    <w:p w14:paraId="74369E2E"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lastRenderedPageBreak/>
        <w:t>2018 stabilization at R$ 1M+ monthly revenue signals a mature, scaling business</w:t>
      </w:r>
    </w:p>
    <w:p w14:paraId="74369E2F" w14:textId="77777777" w:rsidR="006823D5" w:rsidRPr="00FE7FA1" w:rsidRDefault="006823D5">
      <w:pPr>
        <w:spacing w:before="120" w:after="80"/>
        <w:rPr>
          <w:rFonts w:asciiTheme="minorHAnsi" w:hAnsiTheme="minorHAnsi"/>
          <w:sz w:val="24"/>
          <w:szCs w:val="24"/>
        </w:rPr>
      </w:pPr>
    </w:p>
    <w:p w14:paraId="74369E30" w14:textId="1BE3BDCF" w:rsidR="006823D5" w:rsidRPr="00FE7FA1" w:rsidRDefault="00DA240A">
      <w:pPr>
        <w:pStyle w:val="Heading2"/>
        <w:spacing w:before="200" w:after="100"/>
        <w:rPr>
          <w:rFonts w:asciiTheme="minorHAnsi" w:hAnsiTheme="minorHAnsi"/>
          <w:color w:val="auto"/>
          <w:sz w:val="24"/>
          <w:szCs w:val="24"/>
        </w:rPr>
      </w:pPr>
      <w:r w:rsidRPr="00FE7FA1">
        <w:rPr>
          <w:rFonts w:asciiTheme="minorHAnsi" w:hAnsiTheme="minorHAnsi"/>
          <w:b/>
          <w:bCs/>
          <w:color w:val="auto"/>
          <w:sz w:val="24"/>
          <w:szCs w:val="24"/>
        </w:rPr>
        <w:t>3.4 Payment Behavior</w:t>
      </w:r>
      <w:r w:rsidR="00FE7FA1">
        <w:rPr>
          <w:rFonts w:asciiTheme="minorHAnsi" w:hAnsiTheme="minorHAnsi"/>
          <w:b/>
          <w:bCs/>
          <w:color w:val="auto"/>
          <w:sz w:val="24"/>
          <w:szCs w:val="24"/>
        </w:rPr>
        <w:t>:</w:t>
      </w:r>
    </w:p>
    <w:p w14:paraId="74369E31" w14:textId="77777777" w:rsidR="006823D5" w:rsidRPr="00FE7FA1" w:rsidRDefault="00DA240A">
      <w:pPr>
        <w:spacing w:before="80" w:after="80"/>
        <w:rPr>
          <w:rFonts w:asciiTheme="minorHAnsi" w:hAnsiTheme="minorHAnsi"/>
          <w:sz w:val="24"/>
          <w:szCs w:val="24"/>
        </w:rPr>
      </w:pPr>
      <w:r w:rsidRPr="00FE7FA1">
        <w:rPr>
          <w:rFonts w:asciiTheme="minorHAnsi" w:hAnsiTheme="minorHAnsi"/>
          <w:sz w:val="24"/>
          <w:szCs w:val="24"/>
        </w:rPr>
        <w:t>Credit card is the dominant payment method at 73.5% of transactions. However, 18.9% of customers use Boleto — a uniquely Brazilian bank slip system used by customers without credit access. This dual payment behavior is a critical consideration for checkout optimization.</w:t>
      </w:r>
    </w:p>
    <w:p w14:paraId="74369E32"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Credit card: 74,586 transactions (73.5%) — primary revenue channel</w:t>
      </w:r>
    </w:p>
    <w:p w14:paraId="74369E33"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Boleto: 19,191 transactions (18.9%) — critical for financial inclusion in Brazil</w:t>
      </w:r>
    </w:p>
    <w:p w14:paraId="74369E34"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Voucher: 5,493 transactions (5.4%) — promotional effectiveness signal</w:t>
      </w:r>
    </w:p>
    <w:p w14:paraId="74369E35"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Debit card: only 1,486 (1.5%) — minimal adoption, low priority for optimization</w:t>
      </w:r>
    </w:p>
    <w:p w14:paraId="74369E36" w14:textId="77777777" w:rsidR="006823D5" w:rsidRPr="00FE7FA1" w:rsidRDefault="006823D5">
      <w:pPr>
        <w:spacing w:before="120" w:after="80"/>
        <w:rPr>
          <w:rFonts w:asciiTheme="minorHAnsi" w:hAnsiTheme="minorHAnsi"/>
          <w:sz w:val="24"/>
          <w:szCs w:val="24"/>
        </w:rPr>
      </w:pPr>
    </w:p>
    <w:p w14:paraId="74369E37" w14:textId="0BF04716" w:rsidR="006823D5" w:rsidRPr="00FE7FA1" w:rsidRDefault="00DA240A">
      <w:pPr>
        <w:pStyle w:val="Heading2"/>
        <w:spacing w:before="200" w:after="100"/>
        <w:rPr>
          <w:rFonts w:asciiTheme="minorHAnsi" w:hAnsiTheme="minorHAnsi"/>
          <w:color w:val="auto"/>
          <w:sz w:val="24"/>
          <w:szCs w:val="24"/>
        </w:rPr>
      </w:pPr>
      <w:r w:rsidRPr="00FE7FA1">
        <w:rPr>
          <w:rFonts w:asciiTheme="minorHAnsi" w:hAnsiTheme="minorHAnsi"/>
          <w:b/>
          <w:bCs/>
          <w:color w:val="auto"/>
          <w:sz w:val="24"/>
          <w:szCs w:val="24"/>
        </w:rPr>
        <w:t>3.5 Product Category Performance</w:t>
      </w:r>
      <w:r w:rsidR="00FE7FA1">
        <w:rPr>
          <w:rFonts w:asciiTheme="minorHAnsi" w:hAnsiTheme="minorHAnsi"/>
          <w:b/>
          <w:bCs/>
          <w:color w:val="auto"/>
          <w:sz w:val="24"/>
          <w:szCs w:val="24"/>
        </w:rPr>
        <w:t>:</w:t>
      </w:r>
    </w:p>
    <w:p w14:paraId="74369E38" w14:textId="77777777" w:rsidR="006823D5" w:rsidRPr="00FE7FA1" w:rsidRDefault="00DA240A">
      <w:pPr>
        <w:spacing w:before="80" w:after="80"/>
        <w:rPr>
          <w:rFonts w:asciiTheme="minorHAnsi" w:hAnsiTheme="minorHAnsi"/>
          <w:sz w:val="24"/>
          <w:szCs w:val="24"/>
        </w:rPr>
      </w:pPr>
      <w:r w:rsidRPr="00FE7FA1">
        <w:rPr>
          <w:rFonts w:asciiTheme="minorHAnsi" w:hAnsiTheme="minorHAnsi"/>
          <w:sz w:val="24"/>
          <w:szCs w:val="24"/>
        </w:rPr>
        <w:t>Home and lifestyle categories dominate Olist's order volume, with Bed, Bath &amp; Table leading at 11,115 orders. The top 4 categories are all home-focused, indicating Olist's core positioning as a home goods marketplace.</w:t>
      </w:r>
    </w:p>
    <w:p w14:paraId="74369E39"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Bed, Bath &amp; Table: 11,115 orders — clear market leader</w:t>
      </w:r>
    </w:p>
    <w:p w14:paraId="74369E3A"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Health &amp; Beauty: 9,670 orders — fast-growing category with strong digital demand</w:t>
      </w:r>
    </w:p>
    <w:p w14:paraId="74369E3B"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Sports &amp; Leisure: 8,641 | Furniture &amp; Decor: 8,334 — strong home lifestyle cluster</w:t>
      </w:r>
    </w:p>
    <w:p w14:paraId="74369E3C"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Notable absence of fashion/clothing in top 10 — represents an untapped growth opportunity</w:t>
      </w:r>
    </w:p>
    <w:p w14:paraId="74369E3D" w14:textId="77777777" w:rsidR="006823D5" w:rsidRPr="00FE7FA1" w:rsidRDefault="006823D5">
      <w:pPr>
        <w:spacing w:before="120" w:after="80"/>
        <w:rPr>
          <w:rFonts w:asciiTheme="minorHAnsi" w:hAnsiTheme="minorHAnsi"/>
          <w:sz w:val="24"/>
          <w:szCs w:val="24"/>
        </w:rPr>
      </w:pPr>
    </w:p>
    <w:p w14:paraId="74369E3E" w14:textId="3E9F9A53" w:rsidR="006823D5" w:rsidRPr="00FE7FA1" w:rsidRDefault="00DA240A">
      <w:pPr>
        <w:pStyle w:val="Heading2"/>
        <w:spacing w:before="200" w:after="100"/>
        <w:rPr>
          <w:rFonts w:asciiTheme="minorHAnsi" w:hAnsiTheme="minorHAnsi"/>
          <w:color w:val="auto"/>
          <w:sz w:val="24"/>
          <w:szCs w:val="24"/>
        </w:rPr>
      </w:pPr>
      <w:r w:rsidRPr="00FE7FA1">
        <w:rPr>
          <w:rFonts w:asciiTheme="minorHAnsi" w:hAnsiTheme="minorHAnsi"/>
          <w:b/>
          <w:bCs/>
          <w:color w:val="auto"/>
          <w:sz w:val="24"/>
          <w:szCs w:val="24"/>
        </w:rPr>
        <w:t>3.6 Seller Performance</w:t>
      </w:r>
      <w:r w:rsidR="00FE7FA1">
        <w:rPr>
          <w:rFonts w:asciiTheme="minorHAnsi" w:hAnsiTheme="minorHAnsi"/>
          <w:b/>
          <w:bCs/>
          <w:color w:val="auto"/>
          <w:sz w:val="24"/>
          <w:szCs w:val="24"/>
        </w:rPr>
        <w:t>:</w:t>
      </w:r>
    </w:p>
    <w:p w14:paraId="74369E3F" w14:textId="77777777" w:rsidR="006823D5" w:rsidRPr="00FE7FA1" w:rsidRDefault="00DA240A">
      <w:pPr>
        <w:spacing w:before="80" w:after="80"/>
        <w:rPr>
          <w:rFonts w:asciiTheme="minorHAnsi" w:hAnsiTheme="minorHAnsi"/>
          <w:sz w:val="24"/>
          <w:szCs w:val="24"/>
        </w:rPr>
      </w:pPr>
      <w:r w:rsidRPr="00FE7FA1">
        <w:rPr>
          <w:rFonts w:asciiTheme="minorHAnsi" w:hAnsiTheme="minorHAnsi"/>
          <w:sz w:val="24"/>
          <w:szCs w:val="24"/>
        </w:rPr>
        <w:t>Olist's 3,095 active sellers show extreme performance variation. The top seller generated R$ 507,167 in revenue — nearly double the second-ranked seller and 77x the average seller revenue of R$ 6,561. Importantly, the top 10 sellers account for only 14.1% of total revenue, indicating a healthily distributed marketplace.</w:t>
      </w:r>
    </w:p>
    <w:p w14:paraId="74369E40"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Top seller generates R$ 507,167 vs. average of R$ 6,561 — massive 77x performance gap</w:t>
      </w:r>
    </w:p>
    <w:p w14:paraId="74369E41"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14.1% revenue concentration in top 10 sellers indicates a relatively balanced marketplace</w:t>
      </w:r>
    </w:p>
    <w:p w14:paraId="74369E42"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Significant opportunity to study and replicate top-seller behaviors across mid-tier sellers</w:t>
      </w:r>
    </w:p>
    <w:p w14:paraId="74369E43" w14:textId="77777777" w:rsidR="006823D5" w:rsidRPr="00FE7FA1" w:rsidRDefault="006823D5">
      <w:pPr>
        <w:spacing w:before="200" w:after="100"/>
        <w:rPr>
          <w:rFonts w:asciiTheme="minorHAnsi" w:hAnsiTheme="minorHAnsi"/>
          <w:sz w:val="24"/>
          <w:szCs w:val="24"/>
        </w:rPr>
      </w:pPr>
    </w:p>
    <w:p w14:paraId="096E3D72" w14:textId="77777777" w:rsidR="00FE7FA1" w:rsidRDefault="00FE7FA1">
      <w:pPr>
        <w:pStyle w:val="Heading1"/>
        <w:spacing w:before="300" w:after="150"/>
        <w:rPr>
          <w:rFonts w:asciiTheme="majorHAnsi" w:hAnsiTheme="majorHAnsi"/>
          <w:b/>
          <w:bCs/>
          <w:color w:val="auto"/>
          <w:sz w:val="28"/>
          <w:szCs w:val="28"/>
        </w:rPr>
      </w:pPr>
    </w:p>
    <w:p w14:paraId="74369E45" w14:textId="55967E0B" w:rsidR="006823D5" w:rsidRPr="00FE7FA1" w:rsidRDefault="00DA240A">
      <w:pPr>
        <w:pStyle w:val="Heading1"/>
        <w:spacing w:before="300" w:after="150"/>
        <w:rPr>
          <w:rFonts w:asciiTheme="majorHAnsi" w:hAnsiTheme="majorHAnsi"/>
          <w:color w:val="auto"/>
          <w:sz w:val="28"/>
          <w:szCs w:val="28"/>
        </w:rPr>
      </w:pPr>
      <w:r w:rsidRPr="00FE7FA1">
        <w:rPr>
          <w:rFonts w:asciiTheme="majorHAnsi" w:hAnsiTheme="majorHAnsi"/>
          <w:b/>
          <w:bCs/>
          <w:color w:val="auto"/>
          <w:sz w:val="28"/>
          <w:szCs w:val="28"/>
        </w:rPr>
        <w:lastRenderedPageBreak/>
        <w:t>4. Business Recommendations</w:t>
      </w:r>
      <w:r w:rsidR="00FE7FA1">
        <w:rPr>
          <w:rFonts w:asciiTheme="majorHAnsi" w:hAnsiTheme="majorHAnsi"/>
          <w:b/>
          <w:bCs/>
          <w:color w:val="auto"/>
          <w:sz w:val="28"/>
          <w:szCs w:val="28"/>
        </w:rPr>
        <w:t>:</w:t>
      </w:r>
    </w:p>
    <w:p w14:paraId="74369E46" w14:textId="77777777" w:rsidR="006823D5" w:rsidRPr="00FE7FA1" w:rsidRDefault="00DA240A">
      <w:pPr>
        <w:pStyle w:val="Heading2"/>
        <w:spacing w:before="200" w:after="100"/>
        <w:rPr>
          <w:rFonts w:asciiTheme="minorHAnsi" w:hAnsiTheme="minorHAnsi"/>
          <w:color w:val="auto"/>
          <w:sz w:val="24"/>
          <w:szCs w:val="24"/>
        </w:rPr>
      </w:pPr>
      <w:r w:rsidRPr="00FE7FA1">
        <w:rPr>
          <w:rFonts w:asciiTheme="minorHAnsi" w:hAnsiTheme="minorHAnsi"/>
          <w:b/>
          <w:bCs/>
          <w:color w:val="auto"/>
          <w:sz w:val="24"/>
          <w:szCs w:val="24"/>
        </w:rPr>
        <w:t>Recommendation 1: Launch a Delivery Reliability Program</w:t>
      </w:r>
    </w:p>
    <w:p w14:paraId="74369E47" w14:textId="77777777" w:rsidR="006823D5" w:rsidRPr="00FE7FA1" w:rsidRDefault="00DA240A">
      <w:pPr>
        <w:spacing w:before="80" w:after="80"/>
        <w:rPr>
          <w:rFonts w:asciiTheme="minorHAnsi" w:hAnsiTheme="minorHAnsi"/>
          <w:sz w:val="24"/>
          <w:szCs w:val="24"/>
        </w:rPr>
      </w:pPr>
      <w:r w:rsidRPr="00FE7FA1">
        <w:rPr>
          <w:rFonts w:asciiTheme="minorHAnsi" w:hAnsiTheme="minorHAnsi"/>
          <w:sz w:val="24"/>
          <w:szCs w:val="24"/>
        </w:rPr>
        <w:t>Given that late delivery causes a 47% drop in customer satisfaction (4.29 → 2.27), reducing the 6.8% late delivery rate should be the highest-priority operational initiative. A 50% reduction in late deliveries (from 6,534 to ~3,267) could meaningfully shift overall platform ratings.</w:t>
      </w:r>
    </w:p>
    <w:p w14:paraId="74369E48"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Identify top 20% of sellers responsible for the most late shipments via seller-level SLA tracking</w:t>
      </w:r>
    </w:p>
    <w:p w14:paraId="74369E49"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Implement automated carrier delay alerts with proactive customer communication</w:t>
      </w:r>
    </w:p>
    <w:p w14:paraId="74369E4A"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Establish a minimum delivery performance score for seller onboarding and continued listing</w:t>
      </w:r>
    </w:p>
    <w:p w14:paraId="74369E4B" w14:textId="77777777" w:rsidR="006823D5" w:rsidRPr="00FE7FA1" w:rsidRDefault="006823D5">
      <w:pPr>
        <w:spacing w:before="120" w:after="80"/>
        <w:rPr>
          <w:rFonts w:asciiTheme="minorHAnsi" w:hAnsiTheme="minorHAnsi"/>
          <w:sz w:val="24"/>
          <w:szCs w:val="24"/>
        </w:rPr>
      </w:pPr>
    </w:p>
    <w:p w14:paraId="74369E4C" w14:textId="6B55A494" w:rsidR="006823D5" w:rsidRPr="00FE7FA1" w:rsidRDefault="00DA240A">
      <w:pPr>
        <w:pStyle w:val="Heading2"/>
        <w:spacing w:before="200" w:after="100"/>
        <w:rPr>
          <w:rFonts w:asciiTheme="minorHAnsi" w:hAnsiTheme="minorHAnsi"/>
          <w:color w:val="auto"/>
          <w:sz w:val="24"/>
          <w:szCs w:val="24"/>
        </w:rPr>
      </w:pPr>
      <w:r w:rsidRPr="00FE7FA1">
        <w:rPr>
          <w:rFonts w:asciiTheme="minorHAnsi" w:hAnsiTheme="minorHAnsi"/>
          <w:b/>
          <w:bCs/>
          <w:color w:val="auto"/>
          <w:sz w:val="24"/>
          <w:szCs w:val="24"/>
        </w:rPr>
        <w:t>Recommendation 2: Build a Seller Success Program</w:t>
      </w:r>
      <w:r w:rsidR="00FE7FA1">
        <w:rPr>
          <w:rFonts w:asciiTheme="minorHAnsi" w:hAnsiTheme="minorHAnsi"/>
          <w:b/>
          <w:bCs/>
          <w:color w:val="auto"/>
          <w:sz w:val="24"/>
          <w:szCs w:val="24"/>
        </w:rPr>
        <w:t>:</w:t>
      </w:r>
    </w:p>
    <w:p w14:paraId="74369E4D" w14:textId="77777777" w:rsidR="006823D5" w:rsidRPr="00FE7FA1" w:rsidRDefault="00DA240A">
      <w:pPr>
        <w:spacing w:before="80" w:after="80"/>
        <w:rPr>
          <w:rFonts w:asciiTheme="minorHAnsi" w:hAnsiTheme="minorHAnsi"/>
          <w:sz w:val="24"/>
          <w:szCs w:val="24"/>
        </w:rPr>
      </w:pPr>
      <w:r w:rsidRPr="00FE7FA1">
        <w:rPr>
          <w:rFonts w:asciiTheme="minorHAnsi" w:hAnsiTheme="minorHAnsi"/>
          <w:sz w:val="24"/>
          <w:szCs w:val="24"/>
        </w:rPr>
        <w:t>The 77x revenue gap between top and average sellers represents the largest untapped growth lever. A structured seller enablement program could lift mid-tier seller revenues without acquiring new sellers.</w:t>
      </w:r>
    </w:p>
    <w:p w14:paraId="74369E4E"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Analyze top-seller product listings, pricing strategies, and fulfillment behaviors</w:t>
      </w:r>
    </w:p>
    <w:p w14:paraId="74369E4F"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Create a Seller Success Score dashboard with actionable improvement recommendations</w:t>
      </w:r>
    </w:p>
    <w:p w14:paraId="74369E50"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Offer incentive tiers for sellers reaching delivery and satisfaction benchmarks</w:t>
      </w:r>
    </w:p>
    <w:p w14:paraId="74369E51" w14:textId="77777777" w:rsidR="006823D5" w:rsidRPr="00FE7FA1" w:rsidRDefault="006823D5">
      <w:pPr>
        <w:spacing w:before="120" w:after="80"/>
        <w:rPr>
          <w:rFonts w:asciiTheme="minorHAnsi" w:hAnsiTheme="minorHAnsi"/>
          <w:sz w:val="24"/>
          <w:szCs w:val="24"/>
        </w:rPr>
      </w:pPr>
    </w:p>
    <w:p w14:paraId="74369E52" w14:textId="01CE8875" w:rsidR="006823D5" w:rsidRPr="00FE7FA1" w:rsidRDefault="00DA240A">
      <w:pPr>
        <w:pStyle w:val="Heading2"/>
        <w:spacing w:before="200" w:after="100"/>
        <w:rPr>
          <w:rFonts w:asciiTheme="minorHAnsi" w:hAnsiTheme="minorHAnsi"/>
          <w:color w:val="auto"/>
          <w:sz w:val="24"/>
          <w:szCs w:val="24"/>
        </w:rPr>
      </w:pPr>
      <w:r w:rsidRPr="00FE7FA1">
        <w:rPr>
          <w:rFonts w:asciiTheme="minorHAnsi" w:hAnsiTheme="minorHAnsi"/>
          <w:b/>
          <w:bCs/>
          <w:color w:val="auto"/>
          <w:sz w:val="24"/>
          <w:szCs w:val="24"/>
        </w:rPr>
        <w:t>Recommendation 3: Prepare for Seasonal Demand Spikes</w:t>
      </w:r>
      <w:r w:rsidR="00FE7FA1">
        <w:rPr>
          <w:rFonts w:asciiTheme="minorHAnsi" w:hAnsiTheme="minorHAnsi"/>
          <w:b/>
          <w:bCs/>
          <w:color w:val="auto"/>
          <w:sz w:val="24"/>
          <w:szCs w:val="24"/>
        </w:rPr>
        <w:t>:</w:t>
      </w:r>
    </w:p>
    <w:p w14:paraId="74369E53" w14:textId="77777777" w:rsidR="006823D5" w:rsidRPr="00FE7FA1" w:rsidRDefault="00DA240A">
      <w:pPr>
        <w:spacing w:before="80" w:after="80"/>
        <w:rPr>
          <w:rFonts w:asciiTheme="minorHAnsi" w:hAnsiTheme="minorHAnsi"/>
          <w:sz w:val="24"/>
          <w:szCs w:val="24"/>
        </w:rPr>
      </w:pPr>
      <w:r w:rsidRPr="00FE7FA1">
        <w:rPr>
          <w:rFonts w:asciiTheme="minorHAnsi" w:hAnsiTheme="minorHAnsi"/>
          <w:sz w:val="24"/>
          <w:szCs w:val="24"/>
        </w:rPr>
        <w:t>The November 2017 Black Friday spike (2x month-over-month growth) caused visible delivery stress. With the business now at scale, proactive seasonal capacity planning is essential to prevent satisfaction drops during peak periods.</w:t>
      </w:r>
    </w:p>
    <w:p w14:paraId="74369E54"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Require sellers to pre-declare Q4 inventory levels 8 weeks before Black Friday</w:t>
      </w:r>
    </w:p>
    <w:p w14:paraId="74369E55"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Partner with 2–3 additional logistics carriers on standby contracts for November–December</w:t>
      </w:r>
    </w:p>
    <w:p w14:paraId="74369E56"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Cap seller order acceptance at 120% of 90-day trailing average during peak months</w:t>
      </w:r>
    </w:p>
    <w:p w14:paraId="74369E57" w14:textId="77777777" w:rsidR="006823D5" w:rsidRPr="00FE7FA1" w:rsidRDefault="006823D5">
      <w:pPr>
        <w:spacing w:before="120" w:after="80"/>
        <w:rPr>
          <w:rFonts w:asciiTheme="minorHAnsi" w:hAnsiTheme="minorHAnsi"/>
          <w:sz w:val="24"/>
          <w:szCs w:val="24"/>
        </w:rPr>
      </w:pPr>
    </w:p>
    <w:p w14:paraId="74369E58" w14:textId="7C41C279" w:rsidR="006823D5" w:rsidRPr="00FE7FA1" w:rsidRDefault="00DA240A">
      <w:pPr>
        <w:pStyle w:val="Heading2"/>
        <w:spacing w:before="200" w:after="100"/>
        <w:rPr>
          <w:rFonts w:asciiTheme="minorHAnsi" w:hAnsiTheme="minorHAnsi"/>
          <w:color w:val="auto"/>
          <w:sz w:val="24"/>
          <w:szCs w:val="24"/>
        </w:rPr>
      </w:pPr>
      <w:r w:rsidRPr="00FE7FA1">
        <w:rPr>
          <w:rFonts w:asciiTheme="minorHAnsi" w:hAnsiTheme="minorHAnsi"/>
          <w:b/>
          <w:bCs/>
          <w:color w:val="auto"/>
          <w:sz w:val="24"/>
          <w:szCs w:val="24"/>
        </w:rPr>
        <w:t>Recommendation 4: Expand Health &amp; Beauty Category</w:t>
      </w:r>
      <w:r w:rsidR="00FE7FA1">
        <w:rPr>
          <w:rFonts w:asciiTheme="minorHAnsi" w:hAnsiTheme="minorHAnsi"/>
          <w:b/>
          <w:bCs/>
          <w:color w:val="auto"/>
          <w:sz w:val="24"/>
          <w:szCs w:val="24"/>
        </w:rPr>
        <w:t>:</w:t>
      </w:r>
    </w:p>
    <w:p w14:paraId="74369E59" w14:textId="77777777" w:rsidR="006823D5" w:rsidRPr="00FE7FA1" w:rsidRDefault="00DA240A">
      <w:pPr>
        <w:spacing w:before="80" w:after="80"/>
        <w:rPr>
          <w:rFonts w:asciiTheme="minorHAnsi" w:hAnsiTheme="minorHAnsi"/>
          <w:sz w:val="24"/>
          <w:szCs w:val="24"/>
        </w:rPr>
      </w:pPr>
      <w:r w:rsidRPr="00FE7FA1">
        <w:rPr>
          <w:rFonts w:asciiTheme="minorHAnsi" w:hAnsiTheme="minorHAnsi"/>
          <w:sz w:val="24"/>
          <w:szCs w:val="24"/>
        </w:rPr>
        <w:t>Health &amp; Beauty is the #2 category by volume and one of the fastest-growing e-commerce verticals globally. With 9,670 orders already, targeted investment in this category could unlock significant GMV growth.</w:t>
      </w:r>
    </w:p>
    <w:p w14:paraId="74369E5A"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Recruit 50+ specialist Health &amp; Beauty sellers with proven fulfillment track records</w:t>
      </w:r>
    </w:p>
    <w:p w14:paraId="74369E5B"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lastRenderedPageBreak/>
        <w:t>Launch a dedicated Health &amp; Beauty storefront or landing page to improve discoverability</w:t>
      </w:r>
    </w:p>
    <w:p w14:paraId="74369E5C" w14:textId="77777777" w:rsidR="006823D5" w:rsidRPr="00FE7FA1" w:rsidRDefault="00DA240A">
      <w:pPr>
        <w:pStyle w:val="ListParagraph"/>
        <w:numPr>
          <w:ilvl w:val="0"/>
          <w:numId w:val="2"/>
        </w:numPr>
        <w:spacing w:before="60" w:after="60"/>
        <w:rPr>
          <w:rFonts w:asciiTheme="minorHAnsi" w:hAnsiTheme="minorHAnsi"/>
          <w:sz w:val="24"/>
          <w:szCs w:val="24"/>
        </w:rPr>
      </w:pPr>
      <w:r w:rsidRPr="00FE7FA1">
        <w:rPr>
          <w:rFonts w:asciiTheme="minorHAnsi" w:hAnsiTheme="minorHAnsi"/>
          <w:sz w:val="24"/>
          <w:szCs w:val="24"/>
        </w:rPr>
        <w:t>Analyze average order value in this category vs. Bed &amp; Bath to size the revenue opportunity</w:t>
      </w:r>
    </w:p>
    <w:p w14:paraId="74369E5D" w14:textId="77777777" w:rsidR="006823D5" w:rsidRDefault="006823D5">
      <w:pPr>
        <w:spacing w:before="200" w:after="100"/>
      </w:pPr>
    </w:p>
    <w:p w14:paraId="74369E5F" w14:textId="66E00B1C" w:rsidR="006823D5" w:rsidRPr="00FE7FA1" w:rsidRDefault="00DA240A">
      <w:pPr>
        <w:pStyle w:val="Heading1"/>
        <w:spacing w:before="300" w:after="150"/>
        <w:rPr>
          <w:rFonts w:asciiTheme="majorHAnsi" w:hAnsiTheme="majorHAnsi"/>
          <w:color w:val="auto"/>
          <w:sz w:val="28"/>
          <w:szCs w:val="28"/>
        </w:rPr>
      </w:pPr>
      <w:r w:rsidRPr="00FE7FA1">
        <w:rPr>
          <w:rFonts w:asciiTheme="majorHAnsi" w:hAnsiTheme="majorHAnsi"/>
          <w:b/>
          <w:bCs/>
          <w:color w:val="auto"/>
          <w:sz w:val="28"/>
          <w:szCs w:val="28"/>
        </w:rPr>
        <w:t>5. Tools &amp; Methodology</w:t>
      </w:r>
      <w:r w:rsidR="00FE7FA1">
        <w:rPr>
          <w:rFonts w:asciiTheme="majorHAnsi" w:hAnsiTheme="majorHAnsi"/>
          <w:b/>
          <w:bCs/>
          <w:color w:val="auto"/>
          <w:sz w:val="28"/>
          <w:szCs w:val="28"/>
        </w:rPr>
        <w:t>:</w:t>
      </w:r>
    </w:p>
    <w:p w14:paraId="74369E60" w14:textId="77777777" w:rsidR="006823D5" w:rsidRDefault="006823D5">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823D5" w14:paraId="74369E6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74369E61" w14:textId="77777777" w:rsidR="006823D5" w:rsidRPr="00FE7FA1" w:rsidRDefault="00DA240A">
            <w:pPr>
              <w:rPr>
                <w:rFonts w:asciiTheme="minorHAnsi" w:hAnsiTheme="minorHAnsi"/>
                <w:sz w:val="24"/>
                <w:szCs w:val="24"/>
              </w:rPr>
            </w:pPr>
            <w:r w:rsidRPr="00FE7FA1">
              <w:rPr>
                <w:rFonts w:asciiTheme="minorHAnsi" w:hAnsiTheme="minorHAnsi"/>
                <w:b/>
                <w:bCs/>
                <w:sz w:val="24"/>
                <w:szCs w:val="24"/>
              </w:rPr>
              <w:t>Tool</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74369E62" w14:textId="77777777" w:rsidR="006823D5" w:rsidRPr="00FE7FA1" w:rsidRDefault="00DA240A">
            <w:pPr>
              <w:rPr>
                <w:rFonts w:asciiTheme="minorHAnsi" w:hAnsiTheme="minorHAnsi"/>
                <w:sz w:val="24"/>
                <w:szCs w:val="24"/>
              </w:rPr>
            </w:pPr>
            <w:r w:rsidRPr="00FE7FA1">
              <w:rPr>
                <w:rFonts w:asciiTheme="minorHAnsi" w:hAnsiTheme="minorHAnsi"/>
                <w:b/>
                <w:bCs/>
                <w:sz w:val="24"/>
                <w:szCs w:val="24"/>
              </w:rPr>
              <w:t>Purpose</w:t>
            </w:r>
          </w:p>
        </w:tc>
      </w:tr>
      <w:tr w:rsidR="006823D5" w14:paraId="74369E6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50" w:type="dxa"/>
              <w:bottom w:w="90" w:type="dxa"/>
              <w:right w:w="150" w:type="dxa"/>
            </w:tcMar>
          </w:tcPr>
          <w:p w14:paraId="74369E64" w14:textId="77777777" w:rsidR="006823D5" w:rsidRPr="00FE7FA1" w:rsidRDefault="00DA240A">
            <w:pPr>
              <w:rPr>
                <w:rFonts w:asciiTheme="minorHAnsi" w:hAnsiTheme="minorHAnsi"/>
                <w:sz w:val="24"/>
                <w:szCs w:val="24"/>
              </w:rPr>
            </w:pPr>
            <w:r w:rsidRPr="00FE7FA1">
              <w:rPr>
                <w:rFonts w:asciiTheme="minorHAnsi" w:hAnsiTheme="minorHAnsi"/>
                <w:b/>
                <w:bCs/>
                <w:sz w:val="24"/>
                <w:szCs w:val="24"/>
              </w:rPr>
              <w:t>Python 3 / pandas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4369E65" w14:textId="77777777" w:rsidR="006823D5" w:rsidRPr="00FE7FA1" w:rsidRDefault="00DA240A">
            <w:pPr>
              <w:rPr>
                <w:rFonts w:asciiTheme="minorHAnsi" w:hAnsiTheme="minorHAnsi"/>
                <w:sz w:val="24"/>
                <w:szCs w:val="24"/>
              </w:rPr>
            </w:pPr>
            <w:r w:rsidRPr="00FE7FA1">
              <w:rPr>
                <w:rFonts w:asciiTheme="minorHAnsi" w:hAnsiTheme="minorHAnsi"/>
                <w:sz w:val="24"/>
                <w:szCs w:val="24"/>
              </w:rPr>
              <w:t>Data loading, cleaning, transformation, and aggregation across 7 relational datasets</w:t>
            </w:r>
          </w:p>
        </w:tc>
      </w:tr>
      <w:tr w:rsidR="006823D5" w14:paraId="74369E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50" w:type="dxa"/>
              <w:bottom w:w="90" w:type="dxa"/>
              <w:right w:w="150" w:type="dxa"/>
            </w:tcMar>
          </w:tcPr>
          <w:p w14:paraId="74369E67" w14:textId="77777777" w:rsidR="006823D5" w:rsidRPr="00FE7FA1" w:rsidRDefault="00DA240A">
            <w:pPr>
              <w:rPr>
                <w:rFonts w:asciiTheme="minorHAnsi" w:hAnsiTheme="minorHAnsi"/>
                <w:sz w:val="24"/>
                <w:szCs w:val="24"/>
              </w:rPr>
            </w:pPr>
            <w:r w:rsidRPr="00FE7FA1">
              <w:rPr>
                <w:rFonts w:asciiTheme="minorHAnsi" w:hAnsiTheme="minorHAnsi"/>
                <w:b/>
                <w:bCs/>
                <w:sz w:val="24"/>
                <w:szCs w:val="24"/>
              </w:rPr>
              <w:t>matplotlib / seaborn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4369E68" w14:textId="77777777" w:rsidR="006823D5" w:rsidRPr="00FE7FA1" w:rsidRDefault="00DA240A">
            <w:pPr>
              <w:rPr>
                <w:rFonts w:asciiTheme="minorHAnsi" w:hAnsiTheme="minorHAnsi"/>
                <w:sz w:val="24"/>
                <w:szCs w:val="24"/>
              </w:rPr>
            </w:pPr>
            <w:r w:rsidRPr="00FE7FA1">
              <w:rPr>
                <w:rFonts w:asciiTheme="minorHAnsi" w:hAnsiTheme="minorHAnsi"/>
                <w:sz w:val="24"/>
                <w:szCs w:val="24"/>
              </w:rPr>
              <w:t>Data visualization — bar charts, line charts, area charts</w:t>
            </w:r>
          </w:p>
        </w:tc>
      </w:tr>
      <w:tr w:rsidR="006823D5" w14:paraId="74369E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50" w:type="dxa"/>
              <w:bottom w:w="90" w:type="dxa"/>
              <w:right w:w="150" w:type="dxa"/>
            </w:tcMar>
          </w:tcPr>
          <w:p w14:paraId="74369E6A" w14:textId="77777777" w:rsidR="006823D5" w:rsidRPr="00FE7FA1" w:rsidRDefault="00DA240A">
            <w:pPr>
              <w:rPr>
                <w:rFonts w:asciiTheme="minorHAnsi" w:hAnsiTheme="minorHAnsi"/>
                <w:sz w:val="24"/>
                <w:szCs w:val="24"/>
              </w:rPr>
            </w:pPr>
            <w:r w:rsidRPr="00FE7FA1">
              <w:rPr>
                <w:rFonts w:asciiTheme="minorHAnsi" w:hAnsiTheme="minorHAnsi"/>
                <w:b/>
                <w:bCs/>
                <w:sz w:val="24"/>
                <w:szCs w:val="24"/>
              </w:rPr>
              <w:t>Jupyter Notebook</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4369E6B" w14:textId="77777777" w:rsidR="006823D5" w:rsidRPr="00FE7FA1" w:rsidRDefault="00DA240A">
            <w:pPr>
              <w:rPr>
                <w:rFonts w:asciiTheme="minorHAnsi" w:hAnsiTheme="minorHAnsi"/>
                <w:sz w:val="24"/>
                <w:szCs w:val="24"/>
              </w:rPr>
            </w:pPr>
            <w:r w:rsidRPr="00FE7FA1">
              <w:rPr>
                <w:rFonts w:asciiTheme="minorHAnsi" w:hAnsiTheme="minorHAnsi"/>
                <w:sz w:val="24"/>
                <w:szCs w:val="24"/>
              </w:rPr>
              <w:t>Interactive analysis environment and code documentation</w:t>
            </w:r>
          </w:p>
        </w:tc>
      </w:tr>
      <w:tr w:rsidR="006823D5" w14:paraId="74369E6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50" w:type="dxa"/>
              <w:bottom w:w="90" w:type="dxa"/>
              <w:right w:w="150" w:type="dxa"/>
            </w:tcMar>
          </w:tcPr>
          <w:p w14:paraId="74369E6D" w14:textId="77777777" w:rsidR="006823D5" w:rsidRPr="00FE7FA1" w:rsidRDefault="00DA240A">
            <w:pPr>
              <w:rPr>
                <w:rFonts w:asciiTheme="minorHAnsi" w:hAnsiTheme="minorHAnsi"/>
                <w:sz w:val="24"/>
                <w:szCs w:val="24"/>
              </w:rPr>
            </w:pPr>
            <w:r w:rsidRPr="00FE7FA1">
              <w:rPr>
                <w:rFonts w:asciiTheme="minorHAnsi" w:hAnsiTheme="minorHAnsi"/>
                <w:b/>
                <w:bCs/>
                <w:sz w:val="24"/>
                <w:szCs w:val="24"/>
              </w:rPr>
              <w:t>Anaconda Navigator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4369E6E" w14:textId="77777777" w:rsidR="006823D5" w:rsidRPr="00FE7FA1" w:rsidRDefault="00DA240A">
            <w:pPr>
              <w:rPr>
                <w:rFonts w:asciiTheme="minorHAnsi" w:hAnsiTheme="minorHAnsi"/>
                <w:sz w:val="24"/>
                <w:szCs w:val="24"/>
              </w:rPr>
            </w:pPr>
            <w:r w:rsidRPr="00FE7FA1">
              <w:rPr>
                <w:rFonts w:asciiTheme="minorHAnsi" w:hAnsiTheme="minorHAnsi"/>
                <w:sz w:val="24"/>
                <w:szCs w:val="24"/>
              </w:rPr>
              <w:t>Environment management and package distribution</w:t>
            </w:r>
          </w:p>
        </w:tc>
      </w:tr>
      <w:tr w:rsidR="006823D5" w14:paraId="74369E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50" w:type="dxa"/>
              <w:bottom w:w="90" w:type="dxa"/>
              <w:right w:w="150" w:type="dxa"/>
            </w:tcMar>
          </w:tcPr>
          <w:p w14:paraId="74369E70" w14:textId="77777777" w:rsidR="006823D5" w:rsidRPr="00FE7FA1" w:rsidRDefault="00DA240A">
            <w:pPr>
              <w:rPr>
                <w:rFonts w:asciiTheme="minorHAnsi" w:hAnsiTheme="minorHAnsi"/>
                <w:sz w:val="24"/>
                <w:szCs w:val="24"/>
              </w:rPr>
            </w:pPr>
            <w:r w:rsidRPr="00FE7FA1">
              <w:rPr>
                <w:rFonts w:asciiTheme="minorHAnsi" w:hAnsiTheme="minorHAnsi"/>
                <w:b/>
                <w:bCs/>
                <w:sz w:val="24"/>
                <w:szCs w:val="24"/>
              </w:rPr>
              <w:t>Kaggle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74369E71" w14:textId="77777777" w:rsidR="006823D5" w:rsidRPr="00FE7FA1" w:rsidRDefault="00DA240A">
            <w:pPr>
              <w:rPr>
                <w:rFonts w:asciiTheme="minorHAnsi" w:hAnsiTheme="minorHAnsi"/>
                <w:sz w:val="24"/>
                <w:szCs w:val="24"/>
              </w:rPr>
            </w:pPr>
            <w:r w:rsidRPr="00FE7FA1">
              <w:rPr>
                <w:rFonts w:asciiTheme="minorHAnsi" w:hAnsiTheme="minorHAnsi"/>
                <w:sz w:val="24"/>
                <w:szCs w:val="24"/>
              </w:rPr>
              <w:t>Dataset source — Olist Brazilian E-Commerce Public Dataset</w:t>
            </w:r>
          </w:p>
        </w:tc>
      </w:tr>
    </w:tbl>
    <w:p w14:paraId="74369E73" w14:textId="77777777" w:rsidR="006823D5" w:rsidRDefault="006823D5">
      <w:pPr>
        <w:spacing w:before="200" w:after="100"/>
      </w:pPr>
    </w:p>
    <w:p w14:paraId="74369E75" w14:textId="443E93B3" w:rsidR="006823D5" w:rsidRPr="00FE7FA1" w:rsidRDefault="00DA240A">
      <w:pPr>
        <w:pStyle w:val="Heading1"/>
        <w:spacing w:before="300" w:after="150"/>
        <w:rPr>
          <w:rFonts w:asciiTheme="majorHAnsi" w:hAnsiTheme="majorHAnsi"/>
          <w:color w:val="auto"/>
          <w:sz w:val="28"/>
          <w:szCs w:val="28"/>
        </w:rPr>
      </w:pPr>
      <w:r w:rsidRPr="00FE7FA1">
        <w:rPr>
          <w:rFonts w:asciiTheme="majorHAnsi" w:hAnsiTheme="majorHAnsi"/>
          <w:b/>
          <w:bCs/>
          <w:color w:val="auto"/>
          <w:sz w:val="28"/>
          <w:szCs w:val="28"/>
        </w:rPr>
        <w:t>6. Conclusion</w:t>
      </w:r>
      <w:r w:rsidR="00FE7FA1">
        <w:rPr>
          <w:rFonts w:asciiTheme="majorHAnsi" w:hAnsiTheme="majorHAnsi"/>
          <w:b/>
          <w:bCs/>
          <w:color w:val="auto"/>
          <w:sz w:val="28"/>
          <w:szCs w:val="28"/>
        </w:rPr>
        <w:t>:</w:t>
      </w:r>
    </w:p>
    <w:p w14:paraId="74369E76" w14:textId="77777777" w:rsidR="006823D5" w:rsidRPr="00FE7FA1" w:rsidRDefault="00DA240A" w:rsidP="00FE7FA1">
      <w:pPr>
        <w:spacing w:before="80" w:after="80"/>
        <w:jc w:val="both"/>
        <w:rPr>
          <w:rFonts w:asciiTheme="minorHAnsi" w:hAnsiTheme="minorHAnsi"/>
        </w:rPr>
      </w:pPr>
      <w:r w:rsidRPr="00FE7FA1">
        <w:rPr>
          <w:rFonts w:asciiTheme="minorHAnsi" w:hAnsiTheme="minorHAnsi"/>
        </w:rPr>
        <w:t>This analysis demonstrates that Olist is a high-growth e-commerce platform with strong fundamentals — 93.2% on-time delivery, R$ 15.4M in revenue, and an overall customer rating of 4.16/5. However, the data reveals a clear and actionable opportunity: eliminating the 6.8% late delivery rate would directly lift satisfaction scores, reduce churn, and protect the platform's reputation as it scales.</w:t>
      </w:r>
    </w:p>
    <w:p w14:paraId="74369E77" w14:textId="77777777" w:rsidR="006823D5" w:rsidRPr="00FE7FA1" w:rsidRDefault="00DA240A" w:rsidP="00FE7FA1">
      <w:pPr>
        <w:spacing w:before="80" w:after="80"/>
        <w:jc w:val="both"/>
        <w:rPr>
          <w:rFonts w:asciiTheme="minorHAnsi" w:hAnsiTheme="minorHAnsi"/>
        </w:rPr>
      </w:pPr>
      <w:r w:rsidRPr="00FE7FA1">
        <w:rPr>
          <w:rFonts w:asciiTheme="minorHAnsi" w:hAnsiTheme="minorHAnsi"/>
        </w:rPr>
        <w:t>The seller performance gap and seasonal demand patterns further highlight that operational optimization, not new customer acquisition, is the highest-ROI growth lever available to Olist at this stage of maturity.</w:t>
      </w:r>
    </w:p>
    <w:p w14:paraId="74369E78" w14:textId="77777777" w:rsidR="006823D5" w:rsidRDefault="006823D5">
      <w:pPr>
        <w:spacing w:before="120" w:after="80"/>
      </w:pPr>
    </w:p>
    <w:sectPr w:rsidR="006823D5">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388DD" w14:textId="77777777" w:rsidR="00DA240A" w:rsidRDefault="00DA240A">
      <w:r>
        <w:separator/>
      </w:r>
    </w:p>
  </w:endnote>
  <w:endnote w:type="continuationSeparator" w:id="0">
    <w:p w14:paraId="169D7A41" w14:textId="77777777" w:rsidR="00DA240A" w:rsidRDefault="00DA2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A865D" w14:textId="77777777" w:rsidR="0024699A" w:rsidRDefault="002469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69E7B" w14:textId="448673BB" w:rsidR="006823D5" w:rsidRPr="00B82DDF" w:rsidRDefault="006823D5" w:rsidP="00B82D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FFB0E" w14:textId="77777777" w:rsidR="0024699A" w:rsidRDefault="00246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66059" w14:textId="77777777" w:rsidR="00DA240A" w:rsidRDefault="00DA240A">
      <w:r>
        <w:separator/>
      </w:r>
    </w:p>
  </w:footnote>
  <w:footnote w:type="continuationSeparator" w:id="0">
    <w:p w14:paraId="0FADBD56" w14:textId="77777777" w:rsidR="00DA240A" w:rsidRDefault="00DA24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0BB84" w14:textId="77777777" w:rsidR="0024699A" w:rsidRDefault="002469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69E7A" w14:textId="79BDBA33" w:rsidR="006823D5" w:rsidRPr="0024699A" w:rsidRDefault="006823D5" w:rsidP="002469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B40DA" w14:textId="77777777" w:rsidR="0024699A" w:rsidRDefault="002469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5339E7"/>
    <w:multiLevelType w:val="hybridMultilevel"/>
    <w:tmpl w:val="3BACB934"/>
    <w:lvl w:ilvl="0" w:tplc="A20E5C78">
      <w:start w:val="1"/>
      <w:numFmt w:val="bullet"/>
      <w:lvlText w:val="●"/>
      <w:lvlJc w:val="left"/>
      <w:pPr>
        <w:ind w:left="720" w:hanging="360"/>
      </w:pPr>
    </w:lvl>
    <w:lvl w:ilvl="1" w:tplc="B9D84032">
      <w:start w:val="1"/>
      <w:numFmt w:val="bullet"/>
      <w:lvlText w:val="○"/>
      <w:lvlJc w:val="left"/>
      <w:pPr>
        <w:ind w:left="1440" w:hanging="360"/>
      </w:pPr>
    </w:lvl>
    <w:lvl w:ilvl="2" w:tplc="3244B3BA">
      <w:start w:val="1"/>
      <w:numFmt w:val="bullet"/>
      <w:lvlText w:val="■"/>
      <w:lvlJc w:val="left"/>
      <w:pPr>
        <w:ind w:left="2160" w:hanging="360"/>
      </w:pPr>
    </w:lvl>
    <w:lvl w:ilvl="3" w:tplc="52A27CA4">
      <w:start w:val="1"/>
      <w:numFmt w:val="bullet"/>
      <w:lvlText w:val="●"/>
      <w:lvlJc w:val="left"/>
      <w:pPr>
        <w:ind w:left="2880" w:hanging="360"/>
      </w:pPr>
    </w:lvl>
    <w:lvl w:ilvl="4" w:tplc="28909BF2">
      <w:start w:val="1"/>
      <w:numFmt w:val="bullet"/>
      <w:lvlText w:val="○"/>
      <w:lvlJc w:val="left"/>
      <w:pPr>
        <w:ind w:left="3600" w:hanging="360"/>
      </w:pPr>
    </w:lvl>
    <w:lvl w:ilvl="5" w:tplc="02827EA0">
      <w:start w:val="1"/>
      <w:numFmt w:val="bullet"/>
      <w:lvlText w:val="■"/>
      <w:lvlJc w:val="left"/>
      <w:pPr>
        <w:ind w:left="4320" w:hanging="360"/>
      </w:pPr>
    </w:lvl>
    <w:lvl w:ilvl="6" w:tplc="529A669E">
      <w:start w:val="1"/>
      <w:numFmt w:val="bullet"/>
      <w:lvlText w:val="●"/>
      <w:lvlJc w:val="left"/>
      <w:pPr>
        <w:ind w:left="5040" w:hanging="360"/>
      </w:pPr>
    </w:lvl>
    <w:lvl w:ilvl="7" w:tplc="3EB65EC4">
      <w:start w:val="1"/>
      <w:numFmt w:val="bullet"/>
      <w:lvlText w:val="●"/>
      <w:lvlJc w:val="left"/>
      <w:pPr>
        <w:ind w:left="5760" w:hanging="360"/>
      </w:pPr>
    </w:lvl>
    <w:lvl w:ilvl="8" w:tplc="097E9D32">
      <w:start w:val="1"/>
      <w:numFmt w:val="bullet"/>
      <w:lvlText w:val="●"/>
      <w:lvlJc w:val="left"/>
      <w:pPr>
        <w:ind w:left="6480" w:hanging="360"/>
      </w:pPr>
    </w:lvl>
  </w:abstractNum>
  <w:abstractNum w:abstractNumId="1" w15:restartNumberingAfterBreak="0">
    <w:nsid w:val="74F07366"/>
    <w:multiLevelType w:val="hybridMultilevel"/>
    <w:tmpl w:val="DB308390"/>
    <w:lvl w:ilvl="0" w:tplc="C32E3C68">
      <w:start w:val="1"/>
      <w:numFmt w:val="bullet"/>
      <w:lvlText w:val="•"/>
      <w:lvlJc w:val="left"/>
      <w:pPr>
        <w:ind w:left="720" w:hanging="360"/>
      </w:pPr>
    </w:lvl>
    <w:lvl w:ilvl="1" w:tplc="D782194C">
      <w:numFmt w:val="decimal"/>
      <w:lvlText w:val=""/>
      <w:lvlJc w:val="left"/>
    </w:lvl>
    <w:lvl w:ilvl="2" w:tplc="B856526C">
      <w:numFmt w:val="decimal"/>
      <w:lvlText w:val=""/>
      <w:lvlJc w:val="left"/>
    </w:lvl>
    <w:lvl w:ilvl="3" w:tplc="55E80D6E">
      <w:numFmt w:val="decimal"/>
      <w:lvlText w:val=""/>
      <w:lvlJc w:val="left"/>
    </w:lvl>
    <w:lvl w:ilvl="4" w:tplc="9146A5BE">
      <w:numFmt w:val="decimal"/>
      <w:lvlText w:val=""/>
      <w:lvlJc w:val="left"/>
    </w:lvl>
    <w:lvl w:ilvl="5" w:tplc="FD2894BA">
      <w:numFmt w:val="decimal"/>
      <w:lvlText w:val=""/>
      <w:lvlJc w:val="left"/>
    </w:lvl>
    <w:lvl w:ilvl="6" w:tplc="4F28493E">
      <w:numFmt w:val="decimal"/>
      <w:lvlText w:val=""/>
      <w:lvlJc w:val="left"/>
    </w:lvl>
    <w:lvl w:ilvl="7" w:tplc="2446EB0A">
      <w:numFmt w:val="decimal"/>
      <w:lvlText w:val=""/>
      <w:lvlJc w:val="left"/>
    </w:lvl>
    <w:lvl w:ilvl="8" w:tplc="604004D6">
      <w:numFmt w:val="decimal"/>
      <w:lvlText w:val=""/>
      <w:lvlJc w:val="left"/>
    </w:lvl>
  </w:abstractNum>
  <w:num w:numId="1" w16cid:durableId="1683582143">
    <w:abstractNumId w:val="0"/>
    <w:lvlOverride w:ilvl="0">
      <w:startOverride w:val="1"/>
    </w:lvlOverride>
  </w:num>
  <w:num w:numId="2" w16cid:durableId="14033341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3D5"/>
    <w:rsid w:val="0024699A"/>
    <w:rsid w:val="006823D5"/>
    <w:rsid w:val="00750B17"/>
    <w:rsid w:val="0085361D"/>
    <w:rsid w:val="00B82DDF"/>
    <w:rsid w:val="00DA240A"/>
    <w:rsid w:val="00FE7FA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69DE6"/>
  <w15:docId w15:val="{2907CDA3-1E4E-4CD4-BC8E-DE5273DDC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4699A"/>
    <w:pPr>
      <w:tabs>
        <w:tab w:val="center" w:pos="4513"/>
        <w:tab w:val="right" w:pos="9026"/>
      </w:tabs>
    </w:pPr>
  </w:style>
  <w:style w:type="character" w:customStyle="1" w:styleId="HeaderChar">
    <w:name w:val="Header Char"/>
    <w:basedOn w:val="DefaultParagraphFont"/>
    <w:link w:val="Header"/>
    <w:uiPriority w:val="99"/>
    <w:rsid w:val="0024699A"/>
  </w:style>
  <w:style w:type="paragraph" w:styleId="Footer">
    <w:name w:val="footer"/>
    <w:basedOn w:val="Normal"/>
    <w:link w:val="FooterChar"/>
    <w:uiPriority w:val="99"/>
    <w:unhideWhenUsed/>
    <w:rsid w:val="0024699A"/>
    <w:pPr>
      <w:tabs>
        <w:tab w:val="center" w:pos="4513"/>
        <w:tab w:val="right" w:pos="9026"/>
      </w:tabs>
    </w:pPr>
  </w:style>
  <w:style w:type="character" w:customStyle="1" w:styleId="FooterChar">
    <w:name w:val="Footer Char"/>
    <w:basedOn w:val="DefaultParagraphFont"/>
    <w:link w:val="Footer"/>
    <w:uiPriority w:val="99"/>
    <w:rsid w:val="002469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0656F2-3AB1-446E-95B1-8A3050990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1239</Words>
  <Characters>7066</Characters>
  <Application>Microsoft Office Word</Application>
  <DocSecurity>0</DocSecurity>
  <Lines>58</Lines>
  <Paragraphs>16</Paragraphs>
  <ScaleCrop>false</ScaleCrop>
  <Company/>
  <LinksUpToDate>false</LinksUpToDate>
  <CharactersWithSpaces>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Sleeva Akash Marneni</cp:lastModifiedBy>
  <cp:revision>11</cp:revision>
  <dcterms:created xsi:type="dcterms:W3CDTF">2026-04-25T02:28:00Z</dcterms:created>
  <dcterms:modified xsi:type="dcterms:W3CDTF">2026-04-25T02:43:00Z</dcterms:modified>
</cp:coreProperties>
</file>