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4"/>
          <w:szCs w:val="34"/>
        </w:rPr>
        <w:t xml:space="preserve">Sales Forecasting &amp; Demand Intelligence System</w:t>
      </w:r>
    </w:p>
    <w:p>
      <w:pPr>
        <w:spacing w:after="220"/>
        <w:jc w:val="center"/>
      </w:pPr>
      <w:r>
        <w:rPr>
          <w:i/>
          <w:iCs/>
          <w:color w:val="555555"/>
          <w:sz w:val="20"/>
          <w:szCs w:val="20"/>
        </w:rPr>
        <w:t xml:space="preserve">Executive Business Report  |  Prepared for Head of Supply Chain &amp; CFO</w:t>
      </w:r>
    </w:p>
    <w:p>
      <w:pPr>
        <w:pStyle w:val="Heading1"/>
        <w:spacing w:after="100" w:before="200"/>
      </w:pPr>
      <w:r>
        <w:rPr>
          <w:b/>
          <w:bCs/>
          <w:color w:val="1F4E79"/>
          <w:sz w:val="26"/>
          <w:szCs w:val="26"/>
        </w:rPr>
        <w:t xml:space="preserve">Executive Summary</w:t>
      </w:r>
    </w:p>
    <w:p>
      <w:pPr>
        <w:spacing w:after="120"/>
      </w:pPr>
      <w:r>
        <w:rPr>
          <w:sz w:val="21"/>
          <w:szCs w:val="21"/>
        </w:rPr>
        <w:t xml:space="preserve">This report summarizes an end-to-end analysis of four years of sales data to answer one question: how much will we sell next quarter, and where should inventory be positioned to meet that demand? We built and compared three forecasting approaches and selected the most accurate one for production use, which predicts approximately $73,700, $95,400, and $107,200 in sales over the next three months, with sales expected to keep climbing into the holiday period. We also identified unusual sales spikes tied to holiday shopping, and grouped our 17 product sub-categories into four demand patterns — from fast-growing items that need aggressive restocking to slow, steady sellers that need minimal investment. Together, these findings give a data-backed basis for next quarter's purchasing and warehousing decisions.</w:t>
      </w:r>
    </w:p>
    <w:p>
      <w:pPr>
        <w:pStyle w:val="Heading1"/>
        <w:spacing w:after="100" w:before="200"/>
      </w:pPr>
      <w:r>
        <w:rPr>
          <w:b/>
          <w:bCs/>
          <w:color w:val="1F4E79"/>
          <w:sz w:val="26"/>
          <w:szCs w:val="26"/>
        </w:rPr>
        <w:t xml:space="preserve">Key Findings</w:t>
      </w:r>
    </w:p>
    <w:p>
      <w:pPr>
        <w:pStyle w:val="ListParagraph"/>
        <w:numPr>
          <w:ilvl w:val="0"/>
          <w:numId w:val="1"/>
        </w:numPr>
        <w:spacing w:after="60"/>
      </w:pPr>
      <w:r>
        <w:rPr>
          <w:sz w:val="21"/>
          <w:szCs w:val="21"/>
        </w:rPr>
        <w:t xml:space="preserve">Technology is the top revenue-generating category ($827K), narrowly ahead of Furniture ($729K) and Office Supplies ($705K) over the four-year period.</w:t>
      </w:r>
    </w:p>
    <w:p>
      <w:pPr>
        <w:pStyle w:val="ListParagraph"/>
        <w:numPr>
          <w:ilvl w:val="0"/>
          <w:numId w:val="1"/>
        </w:numPr>
        <w:spacing w:after="60"/>
      </w:pPr>
      <w:r>
        <w:rPr>
          <w:sz w:val="21"/>
          <w:szCs w:val="21"/>
        </w:rPr>
        <w:t xml:space="preserve">The East region shows by far the most consistent year-over-year growth of any region, while the South region is the most erratic — East is the safest region to plan around.</w:t>
      </w:r>
    </w:p>
    <w:p>
      <w:pPr>
        <w:pStyle w:val="ListParagraph"/>
        <w:numPr>
          <w:ilvl w:val="0"/>
          <w:numId w:val="1"/>
        </w:numPr>
        <w:spacing w:after="60"/>
      </w:pPr>
      <w:r>
        <w:rPr>
          <w:sz w:val="21"/>
          <w:szCs w:val="21"/>
        </w:rPr>
        <w:t xml:space="preserve">Shipping time averages about 4 days and barely varies by region (3.9–4.1 days), so delivery speed is not currently a competitive differentiator between regions.</w:t>
      </w:r>
    </w:p>
    <w:p>
      <w:pPr>
        <w:pStyle w:val="ListParagraph"/>
        <w:numPr>
          <w:ilvl w:val="0"/>
          <w:numId w:val="1"/>
        </w:numPr>
        <w:spacing w:after="60"/>
      </w:pPr>
      <w:r>
        <w:rPr>
          <w:sz w:val="21"/>
          <w:szCs w:val="21"/>
        </w:rPr>
        <w:t xml:space="preserve">Sales follow a strong and repeatable seasonal pattern, peaking every October–December (holiday shopping) and again each March (likely tied to corporate fiscal-year-end purchasing).</w:t>
      </w:r>
    </w:p>
    <w:p>
      <w:pPr>
        <w:pStyle w:val="ListParagraph"/>
        <w:numPr>
          <w:ilvl w:val="0"/>
          <w:numId w:val="1"/>
        </w:numPr>
        <w:spacing w:after="60"/>
      </w:pPr>
      <w:r>
        <w:rPr>
          <w:sz w:val="21"/>
          <w:szCs w:val="21"/>
        </w:rPr>
        <w:t xml:space="preserve">The underlying sales trend is statistically stable, which means our forecasts are built on a reliable, well-behaved signal rather than an erratic one.</w:t>
      </w:r>
    </w:p>
    <w:p>
      <w:pPr>
        <w:pStyle w:val="Heading1"/>
        <w:spacing w:after="100" w:before="200"/>
      </w:pPr>
      <w:r>
        <w:rPr>
          <w:b/>
          <w:bCs/>
          <w:color w:val="1F4E79"/>
          <w:sz w:val="26"/>
          <w:szCs w:val="26"/>
        </w:rPr>
        <w:t xml:space="preserve">3-Month Sales Forecast</w:t>
      </w:r>
    </w:p>
    <w:p>
      <w:pPr>
        <w:spacing w:after="120"/>
      </w:pPr>
      <w:r>
        <w:rPr>
          <w:sz w:val="21"/>
          <w:szCs w:val="21"/>
        </w:rPr>
        <w:t xml:space="preserve">We built three different forecasting models and tested each one against three months of actual, unseen sales data to see which was most accurate. The statistical model (SARIMA) was the clear winner and is recommended for production use.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50"/>
        <w:gridCol w:w="1000"/>
        <w:gridCol w:w="1000"/>
        <w:gridCol w:w="900"/>
        <w:gridCol w:w="1900"/>
        <w:gridCol w:w="1900"/>
        <w:gridCol w:w="1890"/>
      </w:tblGrid>
      <w:tr>
        <w:tc>
          <w:tcPr>
            <w:tcW w:type="dxa" w:w="1650"/>
            <w:shd w:fill="1F4E79" w:val="clear"/>
            <w:tcMar>
              <w:top w:type="dxa" w:w="80"/>
              <w:left w:type="dxa" w:w="100"/>
              <w:bottom w:type="dxa" w:w="80"/>
              <w:right w:type="dxa" w:w="100"/>
            </w:tcMar>
          </w:tcPr>
          <w:p>
            <w:pPr>
              <w:jc w:val="center"/>
            </w:pPr>
            <w:r>
              <w:rPr>
                <w:b/>
                <w:bCs/>
                <w:color w:val="FFFFFF"/>
                <w:sz w:val="19"/>
                <w:szCs w:val="19"/>
              </w:rPr>
              <w:t xml:space="preserve">Model</w:t>
            </w:r>
          </w:p>
        </w:tc>
        <w:tc>
          <w:tcPr>
            <w:tcW w:type="dxa" w:w="1000"/>
            <w:shd w:fill="1F4E79" w:val="clear"/>
            <w:tcMar>
              <w:top w:type="dxa" w:w="80"/>
              <w:left w:type="dxa" w:w="100"/>
              <w:bottom w:type="dxa" w:w="80"/>
              <w:right w:type="dxa" w:w="100"/>
            </w:tcMar>
          </w:tcPr>
          <w:p>
            <w:pPr>
              <w:jc w:val="center"/>
            </w:pPr>
            <w:r>
              <w:rPr>
                <w:b/>
                <w:bCs/>
                <w:color w:val="FFFFFF"/>
                <w:sz w:val="19"/>
                <w:szCs w:val="19"/>
              </w:rPr>
              <w:t xml:space="preserve">MAE</w:t>
            </w:r>
          </w:p>
        </w:tc>
        <w:tc>
          <w:tcPr>
            <w:tcW w:type="dxa" w:w="1000"/>
            <w:shd w:fill="1F4E79" w:val="clear"/>
            <w:tcMar>
              <w:top w:type="dxa" w:w="80"/>
              <w:left w:type="dxa" w:w="100"/>
              <w:bottom w:type="dxa" w:w="80"/>
              <w:right w:type="dxa" w:w="100"/>
            </w:tcMar>
          </w:tcPr>
          <w:p>
            <w:pPr>
              <w:jc w:val="center"/>
            </w:pPr>
            <w:r>
              <w:rPr>
                <w:b/>
                <w:bCs/>
                <w:color w:val="FFFFFF"/>
                <w:sz w:val="19"/>
                <w:szCs w:val="19"/>
              </w:rPr>
              <w:t xml:space="preserve">RMSE</w:t>
            </w:r>
          </w:p>
        </w:tc>
        <w:tc>
          <w:tcPr>
            <w:tcW w:type="dxa" w:w="900"/>
            <w:shd w:fill="1F4E79" w:val="clear"/>
            <w:tcMar>
              <w:top w:type="dxa" w:w="80"/>
              <w:left w:type="dxa" w:w="100"/>
              <w:bottom w:type="dxa" w:w="80"/>
              <w:right w:type="dxa" w:w="100"/>
            </w:tcMar>
          </w:tcPr>
          <w:p>
            <w:pPr>
              <w:jc w:val="center"/>
            </w:pPr>
            <w:r>
              <w:rPr>
                <w:b/>
                <w:bCs/>
                <w:color w:val="FFFFFF"/>
                <w:sz w:val="19"/>
                <w:szCs w:val="19"/>
              </w:rPr>
              <w:t xml:space="preserve">MAPE</w:t>
            </w:r>
          </w:p>
        </w:tc>
        <w:tc>
          <w:tcPr>
            <w:tcW w:type="dxa" w:w="1900"/>
            <w:shd w:fill="1F4E79" w:val="clear"/>
            <w:tcMar>
              <w:top w:type="dxa" w:w="80"/>
              <w:left w:type="dxa" w:w="100"/>
              <w:bottom w:type="dxa" w:w="80"/>
              <w:right w:type="dxa" w:w="100"/>
            </w:tcMar>
          </w:tcPr>
          <w:p>
            <w:pPr>
              <w:jc w:val="center"/>
            </w:pPr>
            <w:r>
              <w:rPr>
                <w:b/>
                <w:bCs/>
                <w:color w:val="FFFFFF"/>
                <w:sz w:val="19"/>
                <w:szCs w:val="19"/>
              </w:rPr>
              <w:t xml:space="preserve">Month 1</w:t>
            </w:r>
          </w:p>
        </w:tc>
        <w:tc>
          <w:tcPr>
            <w:tcW w:type="dxa" w:w="1900"/>
            <w:shd w:fill="1F4E79" w:val="clear"/>
            <w:tcMar>
              <w:top w:type="dxa" w:w="80"/>
              <w:left w:type="dxa" w:w="100"/>
              <w:bottom w:type="dxa" w:w="80"/>
              <w:right w:type="dxa" w:w="100"/>
            </w:tcMar>
          </w:tcPr>
          <w:p>
            <w:pPr>
              <w:jc w:val="center"/>
            </w:pPr>
            <w:r>
              <w:rPr>
                <w:b/>
                <w:bCs/>
                <w:color w:val="FFFFFF"/>
                <w:sz w:val="19"/>
                <w:szCs w:val="19"/>
              </w:rPr>
              <w:t xml:space="preserve">Month 2</w:t>
            </w:r>
          </w:p>
        </w:tc>
        <w:tc>
          <w:tcPr>
            <w:tcW w:type="dxa" w:w="1890"/>
            <w:shd w:fill="1F4E79" w:val="clear"/>
            <w:tcMar>
              <w:top w:type="dxa" w:w="80"/>
              <w:left w:type="dxa" w:w="100"/>
              <w:bottom w:type="dxa" w:w="80"/>
              <w:right w:type="dxa" w:w="100"/>
            </w:tcMar>
          </w:tcPr>
          <w:p>
            <w:pPr>
              <w:jc w:val="center"/>
            </w:pPr>
            <w:r>
              <w:rPr>
                <w:b/>
                <w:bCs/>
                <w:color w:val="FFFFFF"/>
                <w:sz w:val="19"/>
                <w:szCs w:val="19"/>
              </w:rPr>
              <w:t xml:space="preserve">Month 3</w:t>
            </w:r>
          </w:p>
        </w:tc>
      </w:tr>
      <w:tr>
        <w:tc>
          <w:tcPr>
            <w:tcW w:type="dxa" w:w="1650"/>
            <w:tcMar>
              <w:top w:type="dxa" w:w="80"/>
              <w:left w:type="dxa" w:w="100"/>
              <w:bottom w:type="dxa" w:w="80"/>
              <w:right w:type="dxa" w:w="100"/>
            </w:tcMar>
          </w:tcPr>
          <w:p>
            <w:pPr>
              <w:jc w:val="left"/>
            </w:pPr>
            <w:r>
              <w:rPr>
                <w:b w:val="false"/>
                <w:bCs w:val="false"/>
                <w:color w:val="000000"/>
                <w:sz w:val="19"/>
                <w:szCs w:val="19"/>
              </w:rPr>
              <w:t xml:space="preserve">SARIMA (Recommended)</w:t>
            </w:r>
          </w:p>
        </w:tc>
        <w:tc>
          <w:tcPr>
            <w:tcW w:type="dxa" w:w="1000"/>
            <w:tcMar>
              <w:top w:type="dxa" w:w="80"/>
              <w:left w:type="dxa" w:w="100"/>
              <w:bottom w:type="dxa" w:w="80"/>
              <w:right w:type="dxa" w:w="100"/>
            </w:tcMar>
          </w:tcPr>
          <w:p>
            <w:pPr>
              <w:jc w:val="center"/>
            </w:pPr>
            <w:r>
              <w:rPr>
                <w:b w:val="false"/>
                <w:bCs w:val="false"/>
                <w:color w:val="000000"/>
                <w:sz w:val="19"/>
                <w:szCs w:val="19"/>
              </w:rPr>
              <w:t xml:space="preserve">16,825</w:t>
            </w:r>
          </w:p>
        </w:tc>
        <w:tc>
          <w:tcPr>
            <w:tcW w:type="dxa" w:w="1000"/>
            <w:tcMar>
              <w:top w:type="dxa" w:w="80"/>
              <w:left w:type="dxa" w:w="100"/>
              <w:bottom w:type="dxa" w:w="80"/>
              <w:right w:type="dxa" w:w="100"/>
            </w:tcMar>
          </w:tcPr>
          <w:p>
            <w:pPr>
              <w:jc w:val="center"/>
            </w:pPr>
            <w:r>
              <w:rPr>
                <w:b w:val="false"/>
                <w:bCs w:val="false"/>
                <w:color w:val="000000"/>
                <w:sz w:val="19"/>
                <w:szCs w:val="19"/>
              </w:rPr>
              <w:t xml:space="preserve">19,208</w:t>
            </w:r>
          </w:p>
        </w:tc>
        <w:tc>
          <w:tcPr>
            <w:tcW w:type="dxa" w:w="900"/>
            <w:tcMar>
              <w:top w:type="dxa" w:w="80"/>
              <w:left w:type="dxa" w:w="100"/>
              <w:bottom w:type="dxa" w:w="80"/>
              <w:right w:type="dxa" w:w="100"/>
            </w:tcMar>
          </w:tcPr>
          <w:p>
            <w:pPr>
              <w:jc w:val="center"/>
            </w:pPr>
            <w:r>
              <w:rPr>
                <w:b w:val="false"/>
                <w:bCs w:val="false"/>
                <w:color w:val="000000"/>
                <w:sz w:val="19"/>
                <w:szCs w:val="19"/>
              </w:rPr>
              <w:t xml:space="preserve">17.7%</w:t>
            </w:r>
          </w:p>
        </w:tc>
        <w:tc>
          <w:tcPr>
            <w:tcW w:type="dxa" w:w="1900"/>
            <w:tcMar>
              <w:top w:type="dxa" w:w="80"/>
              <w:left w:type="dxa" w:w="100"/>
              <w:bottom w:type="dxa" w:w="80"/>
              <w:right w:type="dxa" w:w="100"/>
            </w:tcMar>
          </w:tcPr>
          <w:p>
            <w:pPr>
              <w:jc w:val="center"/>
            </w:pPr>
            <w:r>
              <w:rPr>
                <w:b w:val="false"/>
                <w:bCs w:val="false"/>
                <w:color w:val="000000"/>
                <w:sz w:val="19"/>
                <w:szCs w:val="19"/>
              </w:rPr>
              <w:t xml:space="preserve">$73,694</w:t>
            </w:r>
          </w:p>
        </w:tc>
        <w:tc>
          <w:tcPr>
            <w:tcW w:type="dxa" w:w="1900"/>
            <w:tcMar>
              <w:top w:type="dxa" w:w="80"/>
              <w:left w:type="dxa" w:w="100"/>
              <w:bottom w:type="dxa" w:w="80"/>
              <w:right w:type="dxa" w:w="100"/>
            </w:tcMar>
          </w:tcPr>
          <w:p>
            <w:pPr>
              <w:jc w:val="center"/>
            </w:pPr>
            <w:r>
              <w:rPr>
                <w:b w:val="false"/>
                <w:bCs w:val="false"/>
                <w:color w:val="000000"/>
                <w:sz w:val="19"/>
                <w:szCs w:val="19"/>
              </w:rPr>
              <w:t xml:space="preserve">$95,397</w:t>
            </w:r>
          </w:p>
        </w:tc>
        <w:tc>
          <w:tcPr>
            <w:tcW w:type="dxa" w:w="1890"/>
            <w:tcMar>
              <w:top w:type="dxa" w:w="80"/>
              <w:left w:type="dxa" w:w="100"/>
              <w:bottom w:type="dxa" w:w="80"/>
              <w:right w:type="dxa" w:w="100"/>
            </w:tcMar>
          </w:tcPr>
          <w:p>
            <w:pPr>
              <w:jc w:val="center"/>
            </w:pPr>
            <w:r>
              <w:rPr>
                <w:b w:val="false"/>
                <w:bCs w:val="false"/>
                <w:color w:val="000000"/>
                <w:sz w:val="19"/>
                <w:szCs w:val="19"/>
              </w:rPr>
              <w:t xml:space="preserve">$107,211</w:t>
            </w:r>
          </w:p>
        </w:tc>
      </w:tr>
      <w:tr>
        <w:tc>
          <w:tcPr>
            <w:tcW w:type="dxa" w:w="1650"/>
            <w:tcMar>
              <w:top w:type="dxa" w:w="80"/>
              <w:left w:type="dxa" w:w="100"/>
              <w:bottom w:type="dxa" w:w="80"/>
              <w:right w:type="dxa" w:w="100"/>
            </w:tcMar>
          </w:tcPr>
          <w:p>
            <w:pPr>
              <w:jc w:val="left"/>
            </w:pPr>
            <w:r>
              <w:rPr>
                <w:b w:val="false"/>
                <w:bCs w:val="false"/>
                <w:color w:val="000000"/>
                <w:sz w:val="19"/>
                <w:szCs w:val="19"/>
              </w:rPr>
              <w:t xml:space="preserve">Prophet</w:t>
            </w:r>
          </w:p>
        </w:tc>
        <w:tc>
          <w:tcPr>
            <w:tcW w:type="dxa" w:w="1000"/>
            <w:tcMar>
              <w:top w:type="dxa" w:w="80"/>
              <w:left w:type="dxa" w:w="100"/>
              <w:bottom w:type="dxa" w:w="80"/>
              <w:right w:type="dxa" w:w="100"/>
            </w:tcMar>
          </w:tcPr>
          <w:p>
            <w:pPr>
              <w:jc w:val="center"/>
            </w:pPr>
            <w:r>
              <w:rPr>
                <w:b w:val="false"/>
                <w:bCs w:val="false"/>
                <w:color w:val="000000"/>
                <w:sz w:val="19"/>
                <w:szCs w:val="19"/>
              </w:rPr>
              <w:t xml:space="preserve">20,251</w:t>
            </w:r>
          </w:p>
        </w:tc>
        <w:tc>
          <w:tcPr>
            <w:tcW w:type="dxa" w:w="1000"/>
            <w:tcMar>
              <w:top w:type="dxa" w:w="80"/>
              <w:left w:type="dxa" w:w="100"/>
              <w:bottom w:type="dxa" w:w="80"/>
              <w:right w:type="dxa" w:w="100"/>
            </w:tcMar>
          </w:tcPr>
          <w:p>
            <w:pPr>
              <w:jc w:val="center"/>
            </w:pPr>
            <w:r>
              <w:rPr>
                <w:b w:val="false"/>
                <w:bCs w:val="false"/>
                <w:color w:val="000000"/>
                <w:sz w:val="19"/>
                <w:szCs w:val="19"/>
              </w:rPr>
              <w:t xml:space="preserve">22,318</w:t>
            </w:r>
          </w:p>
        </w:tc>
        <w:tc>
          <w:tcPr>
            <w:tcW w:type="dxa" w:w="900"/>
            <w:tcMar>
              <w:top w:type="dxa" w:w="80"/>
              <w:left w:type="dxa" w:w="100"/>
              <w:bottom w:type="dxa" w:w="80"/>
              <w:right w:type="dxa" w:w="100"/>
            </w:tcMar>
          </w:tcPr>
          <w:p>
            <w:pPr>
              <w:jc w:val="center"/>
            </w:pPr>
            <w:r>
              <w:rPr>
                <w:b w:val="false"/>
                <w:bCs w:val="false"/>
                <w:color w:val="000000"/>
                <w:sz w:val="19"/>
                <w:szCs w:val="19"/>
              </w:rPr>
              <w:t xml:space="preserve">21.9%</w:t>
            </w:r>
          </w:p>
        </w:tc>
        <w:tc>
          <w:tcPr>
            <w:tcW w:type="dxa" w:w="1900"/>
            <w:tcMar>
              <w:top w:type="dxa" w:w="80"/>
              <w:left w:type="dxa" w:w="100"/>
              <w:bottom w:type="dxa" w:w="80"/>
              <w:right w:type="dxa" w:w="100"/>
            </w:tcMar>
          </w:tcPr>
          <w:p>
            <w:pPr>
              <w:jc w:val="center"/>
            </w:pPr>
            <w:r>
              <w:rPr>
                <w:b w:val="false"/>
                <w:bCs w:val="false"/>
                <w:color w:val="000000"/>
                <w:sz w:val="19"/>
                <w:szCs w:val="19"/>
              </w:rPr>
              <w:t xml:space="preserve">$51,319</w:t>
            </w:r>
          </w:p>
        </w:tc>
        <w:tc>
          <w:tcPr>
            <w:tcW w:type="dxa" w:w="1900"/>
            <w:tcMar>
              <w:top w:type="dxa" w:w="80"/>
              <w:left w:type="dxa" w:w="100"/>
              <w:bottom w:type="dxa" w:w="80"/>
              <w:right w:type="dxa" w:w="100"/>
            </w:tcMar>
          </w:tcPr>
          <w:p>
            <w:pPr>
              <w:jc w:val="center"/>
            </w:pPr>
            <w:r>
              <w:rPr>
                <w:b w:val="false"/>
                <w:bCs w:val="false"/>
                <w:color w:val="000000"/>
                <w:sz w:val="19"/>
                <w:szCs w:val="19"/>
              </w:rPr>
              <w:t xml:space="preserve">$90,326</w:t>
            </w:r>
          </w:p>
        </w:tc>
        <w:tc>
          <w:tcPr>
            <w:tcW w:type="dxa" w:w="1890"/>
            <w:tcMar>
              <w:top w:type="dxa" w:w="80"/>
              <w:left w:type="dxa" w:w="100"/>
              <w:bottom w:type="dxa" w:w="80"/>
              <w:right w:type="dxa" w:w="100"/>
            </w:tcMar>
          </w:tcPr>
          <w:p>
            <w:pPr>
              <w:jc w:val="center"/>
            </w:pPr>
            <w:r>
              <w:rPr>
                <w:b w:val="false"/>
                <w:bCs w:val="false"/>
                <w:color w:val="000000"/>
                <w:sz w:val="19"/>
                <w:szCs w:val="19"/>
              </w:rPr>
              <w:t xml:space="preserve">$90,041</w:t>
            </w:r>
          </w:p>
        </w:tc>
      </w:tr>
      <w:tr>
        <w:tc>
          <w:tcPr>
            <w:tcW w:type="dxa" w:w="1650"/>
            <w:tcMar>
              <w:top w:type="dxa" w:w="80"/>
              <w:left w:type="dxa" w:w="100"/>
              <w:bottom w:type="dxa" w:w="80"/>
              <w:right w:type="dxa" w:w="100"/>
            </w:tcMar>
          </w:tcPr>
          <w:p>
            <w:pPr>
              <w:jc w:val="left"/>
            </w:pPr>
            <w:r>
              <w:rPr>
                <w:b w:val="false"/>
                <w:bCs w:val="false"/>
                <w:color w:val="000000"/>
                <w:sz w:val="19"/>
                <w:szCs w:val="19"/>
              </w:rPr>
              <w:t xml:space="preserve">XGBoost</w:t>
            </w:r>
          </w:p>
        </w:tc>
        <w:tc>
          <w:tcPr>
            <w:tcW w:type="dxa" w:w="1000"/>
            <w:tcMar>
              <w:top w:type="dxa" w:w="80"/>
              <w:left w:type="dxa" w:w="100"/>
              <w:bottom w:type="dxa" w:w="80"/>
              <w:right w:type="dxa" w:w="100"/>
            </w:tcMar>
          </w:tcPr>
          <w:p>
            <w:pPr>
              <w:jc w:val="center"/>
            </w:pPr>
            <w:r>
              <w:rPr>
                <w:b w:val="false"/>
                <w:bCs w:val="false"/>
                <w:color w:val="000000"/>
                <w:sz w:val="19"/>
                <w:szCs w:val="19"/>
              </w:rPr>
              <w:t xml:space="preserve">18,910</w:t>
            </w:r>
          </w:p>
        </w:tc>
        <w:tc>
          <w:tcPr>
            <w:tcW w:type="dxa" w:w="1000"/>
            <w:tcMar>
              <w:top w:type="dxa" w:w="80"/>
              <w:left w:type="dxa" w:w="100"/>
              <w:bottom w:type="dxa" w:w="80"/>
              <w:right w:type="dxa" w:w="100"/>
            </w:tcMar>
          </w:tcPr>
          <w:p>
            <w:pPr>
              <w:jc w:val="center"/>
            </w:pPr>
            <w:r>
              <w:rPr>
                <w:b w:val="false"/>
                <w:bCs w:val="false"/>
                <w:color w:val="000000"/>
                <w:sz w:val="19"/>
                <w:szCs w:val="19"/>
              </w:rPr>
              <w:t xml:space="preserve">21,009</w:t>
            </w:r>
          </w:p>
        </w:tc>
        <w:tc>
          <w:tcPr>
            <w:tcW w:type="dxa" w:w="900"/>
            <w:tcMar>
              <w:top w:type="dxa" w:w="80"/>
              <w:left w:type="dxa" w:w="100"/>
              <w:bottom w:type="dxa" w:w="80"/>
              <w:right w:type="dxa" w:w="100"/>
            </w:tcMar>
          </w:tcPr>
          <w:p>
            <w:pPr>
              <w:jc w:val="center"/>
            </w:pPr>
            <w:r>
              <w:rPr>
                <w:b w:val="false"/>
                <w:bCs w:val="false"/>
                <w:color w:val="000000"/>
                <w:sz w:val="19"/>
                <w:szCs w:val="19"/>
              </w:rPr>
              <w:t xml:space="preserve">19.4%</w:t>
            </w:r>
          </w:p>
        </w:tc>
        <w:tc>
          <w:tcPr>
            <w:tcW w:type="dxa" w:w="1900"/>
            <w:tcMar>
              <w:top w:type="dxa" w:w="80"/>
              <w:left w:type="dxa" w:w="100"/>
              <w:bottom w:type="dxa" w:w="80"/>
              <w:right w:type="dxa" w:w="100"/>
            </w:tcMar>
          </w:tcPr>
          <w:p>
            <w:pPr>
              <w:jc w:val="center"/>
            </w:pPr>
            <w:r>
              <w:rPr>
                <w:b w:val="false"/>
                <w:bCs w:val="false"/>
                <w:color w:val="000000"/>
                <w:sz w:val="19"/>
                <w:szCs w:val="19"/>
              </w:rPr>
              <w:t xml:space="preserve">$69,454</w:t>
            </w:r>
          </w:p>
        </w:tc>
        <w:tc>
          <w:tcPr>
            <w:tcW w:type="dxa" w:w="1900"/>
            <w:tcMar>
              <w:top w:type="dxa" w:w="80"/>
              <w:left w:type="dxa" w:w="100"/>
              <w:bottom w:type="dxa" w:w="80"/>
              <w:right w:type="dxa" w:w="100"/>
            </w:tcMar>
          </w:tcPr>
          <w:p>
            <w:pPr>
              <w:jc w:val="center"/>
            </w:pPr>
            <w:r>
              <w:rPr>
                <w:b w:val="false"/>
                <w:bCs w:val="false"/>
                <w:color w:val="000000"/>
                <w:sz w:val="19"/>
                <w:szCs w:val="19"/>
              </w:rPr>
              <w:t xml:space="preserve">$87,542</w:t>
            </w:r>
          </w:p>
        </w:tc>
        <w:tc>
          <w:tcPr>
            <w:tcW w:type="dxa" w:w="1890"/>
            <w:tcMar>
              <w:top w:type="dxa" w:w="80"/>
              <w:left w:type="dxa" w:w="100"/>
              <w:bottom w:type="dxa" w:w="80"/>
              <w:right w:type="dxa" w:w="100"/>
            </w:tcMar>
          </w:tcPr>
          <w:p>
            <w:pPr>
              <w:jc w:val="center"/>
            </w:pPr>
            <w:r>
              <w:rPr>
                <w:b w:val="false"/>
                <w:bCs w:val="false"/>
                <w:color w:val="000000"/>
                <w:sz w:val="19"/>
                <w:szCs w:val="19"/>
              </w:rPr>
              <w:t xml:space="preserve">$64,691</w:t>
            </w:r>
          </w:p>
        </w:tc>
      </w:tr>
    </w:tbl>
    <w:p>
      <w:pPr>
        <w:spacing w:after="120" w:before="140"/>
      </w:pPr>
    </w:p>
    <w:p>
      <w:pPr>
        <w:spacing w:after="120"/>
      </w:pPr>
      <w:r>
        <w:rPr>
          <w:sz w:val="21"/>
          <w:szCs w:val="21"/>
        </w:rPr>
        <w:t xml:space="preserve">In plain terms: the recommended model's predictions are typically within about 18% of the actual monthly sales figure. Next month's sales are projected at roughly $73,700, rising to about $95,400 the following month and $107,200 the month after — with the true value most likely (95% confidence) falling between $50,100–$97,300 in month one, widening to $80,300–$134,100 by month three as we forecast further into the future.</w:t>
      </w:r>
    </w:p>
    <w:p>
      <w:pPr>
        <w:pStyle w:val="Heading1"/>
        <w:spacing w:after="100" w:before="200"/>
      </w:pPr>
      <w:r>
        <w:rPr>
          <w:b/>
          <w:bCs/>
          <w:color w:val="1F4E79"/>
          <w:sz w:val="26"/>
          <w:szCs w:val="26"/>
        </w:rPr>
        <w:t xml:space="preserve">Top Anomalies Detected</w:t>
      </w:r>
    </w:p>
    <w:p>
      <w:pPr>
        <w:pStyle w:val="ListParagraph"/>
        <w:numPr>
          <w:ilvl w:val="0"/>
          <w:numId w:val="1"/>
        </w:numPr>
        <w:spacing w:after="60"/>
      </w:pPr>
      <w:r>
        <w:rPr>
          <w:sz w:val="21"/>
          <w:szCs w:val="21"/>
        </w:rPr>
        <w:t xml:space="preserve">Holiday surge (mid-November to early December): Two separate weeks saw sales roughly double the normal baseline (~$30,000–$36,000 vs. a typical $15,000–$20,000 week) — consistent with Black Friday, Cyber Monday, and pre-Christmas shopping.</w:t>
      </w:r>
    </w:p>
    <w:p>
      <w:pPr>
        <w:pStyle w:val="ListParagraph"/>
        <w:numPr>
          <w:ilvl w:val="0"/>
          <w:numId w:val="1"/>
        </w:numPr>
        <w:spacing w:after="60"/>
      </w:pPr>
      <w:r>
        <w:rPr>
          <w:sz w:val="21"/>
          <w:szCs w:val="21"/>
        </w:rPr>
        <w:t xml:space="preserve">Mid-March 2015 spike ($37,700 in a single week): This is the one anomaly flagged independently by both detection methods we used, giving it the highest confidence of any anomaly in the dataset — likely a single large bulk or corporate order.</w:t>
      </w:r>
    </w:p>
    <w:p>
      <w:pPr>
        <w:pStyle w:val="ListParagraph"/>
        <w:numPr>
          <w:ilvl w:val="0"/>
          <w:numId w:val="1"/>
        </w:numPr>
        <w:spacing w:after="60"/>
      </w:pPr>
      <w:r>
        <w:rPr>
          <w:sz w:val="21"/>
          <w:szCs w:val="21"/>
        </w:rPr>
        <w:t xml:space="preserve">A cluster of unusually low sales weeks in early 2015 and January 2016 (as low as $225–$970): These may reflect genuinely slow weeks, or could indicate gaps in early data collection — worth a data-quality check before treating them as a demand signal.</w:t>
      </w:r>
    </w:p>
    <w:p>
      <w:pPr>
        <w:pStyle w:val="Heading1"/>
        <w:spacing w:after="100" w:before="200"/>
      </w:pPr>
      <w:r>
        <w:rPr>
          <w:b/>
          <w:bCs/>
          <w:color w:val="1F4E79"/>
          <w:sz w:val="26"/>
          <w:szCs w:val="26"/>
        </w:rPr>
        <w:t xml:space="preserve">Product Demand Segmentation</w:t>
      </w:r>
    </w:p>
    <w:p>
      <w:pPr>
        <w:spacing w:after="120"/>
      </w:pPr>
      <w:r>
        <w:rPr>
          <w:sz w:val="21"/>
          <w:szCs w:val="21"/>
        </w:rPr>
        <w:t xml:space="preserve">We grouped the 17 product sub-categories into four demand patterns based on sales volume, growth trend, and volatility. Recommended stocking strategy per group:</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240"/>
      </w:tblGrid>
      <w:tr>
        <w:tc>
          <w:tcPr>
            <w:tcW w:type="dxa" w:w="2200"/>
            <w:shd w:fill="1F4E79" w:val="clear"/>
            <w:tcMar>
              <w:top w:type="dxa" w:w="80"/>
              <w:left w:type="dxa" w:w="100"/>
              <w:bottom w:type="dxa" w:w="80"/>
              <w:right w:type="dxa" w:w="100"/>
            </w:tcMar>
          </w:tcPr>
          <w:p>
            <w:pPr>
              <w:jc w:val="left"/>
            </w:pPr>
            <w:r>
              <w:rPr>
                <w:b/>
                <w:bCs/>
                <w:color w:val="FFFFFF"/>
                <w:sz w:val="19"/>
                <w:szCs w:val="19"/>
              </w:rPr>
              <w:t xml:space="preserve">Segment</w:t>
            </w:r>
          </w:p>
        </w:tc>
        <w:tc>
          <w:tcPr>
            <w:tcW w:type="dxa" w:w="2800"/>
            <w:shd w:fill="1F4E79" w:val="clear"/>
            <w:tcMar>
              <w:top w:type="dxa" w:w="80"/>
              <w:left w:type="dxa" w:w="100"/>
              <w:bottom w:type="dxa" w:w="80"/>
              <w:right w:type="dxa" w:w="100"/>
            </w:tcMar>
          </w:tcPr>
          <w:p>
            <w:pPr>
              <w:jc w:val="left"/>
            </w:pPr>
            <w:r>
              <w:rPr>
                <w:b/>
                <w:bCs/>
                <w:color w:val="FFFFFF"/>
                <w:sz w:val="19"/>
                <w:szCs w:val="19"/>
              </w:rPr>
              <w:t xml:space="preserve">Sub-Categories</w:t>
            </w:r>
          </w:p>
        </w:tc>
        <w:tc>
          <w:tcPr>
            <w:tcW w:type="dxa" w:w="5240"/>
            <w:shd w:fill="1F4E79" w:val="clear"/>
            <w:tcMar>
              <w:top w:type="dxa" w:w="80"/>
              <w:left w:type="dxa" w:w="100"/>
              <w:bottom w:type="dxa" w:w="80"/>
              <w:right w:type="dxa" w:w="100"/>
            </w:tcMar>
          </w:tcPr>
          <w:p>
            <w:pPr>
              <w:jc w:val="left"/>
            </w:pPr>
            <w:r>
              <w:rPr>
                <w:b/>
                <w:bCs/>
                <w:color w:val="FFFFFF"/>
                <w:sz w:val="19"/>
                <w:szCs w:val="19"/>
              </w:rPr>
              <w:t xml:space="preserve">Recommended Stocking Strategy</w:t>
            </w:r>
          </w:p>
        </w:tc>
      </w:tr>
      <w:tr>
        <w:tc>
          <w:tcPr>
            <w:tcW w:type="dxa" w:w="2200"/>
            <w:tcMar>
              <w:top w:type="dxa" w:w="80"/>
              <w:left w:type="dxa" w:w="100"/>
              <w:bottom w:type="dxa" w:w="80"/>
              <w:right w:type="dxa" w:w="100"/>
            </w:tcMar>
          </w:tcPr>
          <w:p>
            <w:pPr>
              <w:jc w:val="left"/>
            </w:pPr>
            <w:r>
              <w:rPr>
                <w:b w:val="false"/>
                <w:bCs w:val="false"/>
                <w:color w:val="000000"/>
                <w:sz w:val="19"/>
                <w:szCs w:val="19"/>
              </w:rPr>
              <w:t xml:space="preserve">High Volume, Stable Demand</w:t>
            </w:r>
          </w:p>
        </w:tc>
        <w:tc>
          <w:tcPr>
            <w:tcW w:type="dxa" w:w="2800"/>
            <w:tcMar>
              <w:top w:type="dxa" w:w="80"/>
              <w:left w:type="dxa" w:w="100"/>
              <w:bottom w:type="dxa" w:w="80"/>
              <w:right w:type="dxa" w:w="100"/>
            </w:tcMar>
          </w:tcPr>
          <w:p>
            <w:pPr>
              <w:jc w:val="left"/>
            </w:pPr>
            <w:r>
              <w:rPr>
                <w:b w:val="false"/>
                <w:bCs w:val="false"/>
                <w:color w:val="000000"/>
                <w:sz w:val="19"/>
                <w:szCs w:val="19"/>
              </w:rPr>
              <w:t xml:space="preserve">Accessories, Binders, Chairs, Storage, Phones, Tables</w:t>
            </w:r>
          </w:p>
        </w:tc>
        <w:tc>
          <w:tcPr>
            <w:tcW w:type="dxa" w:w="5240"/>
            <w:tcMar>
              <w:top w:type="dxa" w:w="80"/>
              <w:left w:type="dxa" w:w="100"/>
              <w:bottom w:type="dxa" w:w="80"/>
              <w:right w:type="dxa" w:w="100"/>
            </w:tcMar>
          </w:tcPr>
          <w:p>
            <w:pPr>
              <w:jc w:val="left"/>
            </w:pPr>
            <w:r>
              <w:rPr>
                <w:b w:val="false"/>
                <w:bCs w:val="false"/>
                <w:color w:val="000000"/>
                <w:sz w:val="19"/>
                <w:szCs w:val="19"/>
              </w:rPr>
              <w:t xml:space="preserve">Maintain steady safety stock using standard reorder-point models. Lowest risk segment.</w:t>
            </w:r>
          </w:p>
        </w:tc>
      </w:tr>
      <w:tr>
        <w:tc>
          <w:tcPr>
            <w:tcW w:type="dxa" w:w="2200"/>
            <w:tcMar>
              <w:top w:type="dxa" w:w="80"/>
              <w:left w:type="dxa" w:w="100"/>
              <w:bottom w:type="dxa" w:w="80"/>
              <w:right w:type="dxa" w:w="100"/>
            </w:tcMar>
          </w:tcPr>
          <w:p>
            <w:pPr>
              <w:jc w:val="left"/>
            </w:pPr>
            <w:r>
              <w:rPr>
                <w:b w:val="false"/>
                <w:bCs w:val="false"/>
                <w:color w:val="000000"/>
                <w:sz w:val="19"/>
                <w:szCs w:val="19"/>
              </w:rPr>
              <w:t xml:space="preserve">Explosive Growth</w:t>
            </w:r>
          </w:p>
        </w:tc>
        <w:tc>
          <w:tcPr>
            <w:tcW w:type="dxa" w:w="2800"/>
            <w:tcMar>
              <w:top w:type="dxa" w:w="80"/>
              <w:left w:type="dxa" w:w="100"/>
              <w:bottom w:type="dxa" w:w="80"/>
              <w:right w:type="dxa" w:w="100"/>
            </w:tcMar>
          </w:tcPr>
          <w:p>
            <w:pPr>
              <w:jc w:val="left"/>
            </w:pPr>
            <w:r>
              <w:rPr>
                <w:b w:val="false"/>
                <w:bCs w:val="false"/>
                <w:color w:val="000000"/>
                <w:sz w:val="19"/>
                <w:szCs w:val="19"/>
              </w:rPr>
              <w:t xml:space="preserve">Copiers</w:t>
            </w:r>
          </w:p>
        </w:tc>
        <w:tc>
          <w:tcPr>
            <w:tcW w:type="dxa" w:w="5240"/>
            <w:tcMar>
              <w:top w:type="dxa" w:w="80"/>
              <w:left w:type="dxa" w:w="100"/>
              <w:bottom w:type="dxa" w:w="80"/>
              <w:right w:type="dxa" w:w="100"/>
            </w:tcMar>
          </w:tcPr>
          <w:p>
            <w:pPr>
              <w:jc w:val="left"/>
            </w:pPr>
            <w:r>
              <w:rPr>
                <w:b w:val="false"/>
                <w:bCs w:val="false"/>
                <w:color w:val="000000"/>
                <w:sz w:val="19"/>
                <w:szCs w:val="19"/>
              </w:rPr>
              <w:t xml:space="preserve">Increase order frequency and safety stock aggressively; review weekly. High revenue-per-unit makes stockouts costly.</w:t>
            </w:r>
          </w:p>
        </w:tc>
      </w:tr>
      <w:tr>
        <w:tc>
          <w:tcPr>
            <w:tcW w:type="dxa" w:w="2200"/>
            <w:tcMar>
              <w:top w:type="dxa" w:w="80"/>
              <w:left w:type="dxa" w:w="100"/>
              <w:bottom w:type="dxa" w:w="80"/>
              <w:right w:type="dxa" w:w="100"/>
            </w:tcMar>
          </w:tcPr>
          <w:p>
            <w:pPr>
              <w:jc w:val="left"/>
            </w:pPr>
            <w:r>
              <w:rPr>
                <w:b w:val="false"/>
                <w:bCs w:val="false"/>
                <w:color w:val="000000"/>
                <w:sz w:val="19"/>
                <w:szCs w:val="19"/>
              </w:rPr>
              <w:t xml:space="preserve">Low Volume, Stable Demand</w:t>
            </w:r>
          </w:p>
        </w:tc>
        <w:tc>
          <w:tcPr>
            <w:tcW w:type="dxa" w:w="2800"/>
            <w:tcMar>
              <w:top w:type="dxa" w:w="80"/>
              <w:left w:type="dxa" w:w="100"/>
              <w:bottom w:type="dxa" w:w="80"/>
              <w:right w:type="dxa" w:w="100"/>
            </w:tcMar>
          </w:tcPr>
          <w:p>
            <w:pPr>
              <w:jc w:val="left"/>
            </w:pPr>
            <w:r>
              <w:rPr>
                <w:b w:val="false"/>
                <w:bCs w:val="false"/>
                <w:color w:val="000000"/>
                <w:sz w:val="19"/>
                <w:szCs w:val="19"/>
              </w:rPr>
              <w:t xml:space="preserve">Art, Envelopes, Bookcases, Fasteners, Furnishings, Paper, Labels, Supplies, Appliances</w:t>
            </w:r>
          </w:p>
        </w:tc>
        <w:tc>
          <w:tcPr>
            <w:tcW w:type="dxa" w:w="5240"/>
            <w:tcMar>
              <w:top w:type="dxa" w:w="80"/>
              <w:left w:type="dxa" w:w="100"/>
              <w:bottom w:type="dxa" w:w="80"/>
              <w:right w:type="dxa" w:w="100"/>
            </w:tcMar>
          </w:tcPr>
          <w:p>
            <w:pPr>
              <w:jc w:val="left"/>
            </w:pPr>
            <w:r>
              <w:rPr>
                <w:b w:val="false"/>
                <w:bCs w:val="false"/>
                <w:color w:val="000000"/>
                <w:sz w:val="19"/>
                <w:szCs w:val="19"/>
              </w:rPr>
              <w:t xml:space="preserve">Keep minimal inventory; order in small batches. Low priority for warehouse space.</w:t>
            </w:r>
          </w:p>
        </w:tc>
      </w:tr>
      <w:tr>
        <w:tc>
          <w:tcPr>
            <w:tcW w:type="dxa" w:w="2200"/>
            <w:tcMar>
              <w:top w:type="dxa" w:w="80"/>
              <w:left w:type="dxa" w:w="100"/>
              <w:bottom w:type="dxa" w:w="80"/>
              <w:right w:type="dxa" w:w="100"/>
            </w:tcMar>
          </w:tcPr>
          <w:p>
            <w:pPr>
              <w:jc w:val="left"/>
            </w:pPr>
            <w:r>
              <w:rPr>
                <w:b w:val="false"/>
                <w:bCs w:val="false"/>
                <w:color w:val="000000"/>
                <w:sz w:val="19"/>
                <w:szCs w:val="19"/>
              </w:rPr>
              <w:t xml:space="preserve">Declining Demand, High Volatility</w:t>
            </w:r>
          </w:p>
        </w:tc>
        <w:tc>
          <w:tcPr>
            <w:tcW w:type="dxa" w:w="2800"/>
            <w:tcMar>
              <w:top w:type="dxa" w:w="80"/>
              <w:left w:type="dxa" w:w="100"/>
              <w:bottom w:type="dxa" w:w="80"/>
              <w:right w:type="dxa" w:w="100"/>
            </w:tcMar>
          </w:tcPr>
          <w:p>
            <w:pPr>
              <w:jc w:val="left"/>
            </w:pPr>
            <w:r>
              <w:rPr>
                <w:b w:val="false"/>
                <w:bCs w:val="false"/>
                <w:color w:val="000000"/>
                <w:sz w:val="19"/>
                <w:szCs w:val="19"/>
              </w:rPr>
              <w:t xml:space="preserve">Machines</w:t>
            </w:r>
          </w:p>
        </w:tc>
        <w:tc>
          <w:tcPr>
            <w:tcW w:type="dxa" w:w="5240"/>
            <w:tcMar>
              <w:top w:type="dxa" w:w="80"/>
              <w:left w:type="dxa" w:w="100"/>
              <w:bottom w:type="dxa" w:w="80"/>
              <w:right w:type="dxa" w:w="100"/>
            </w:tcMar>
          </w:tcPr>
          <w:p>
            <w:pPr>
              <w:jc w:val="left"/>
            </w:pPr>
            <w:r>
              <w:rPr>
                <w:b w:val="false"/>
                <w:bCs w:val="false"/>
                <w:color w:val="000000"/>
                <w:sz w:val="19"/>
                <w:szCs w:val="19"/>
              </w:rPr>
              <w:t xml:space="preserve">Reduce stock levels cautiously; investigate the cause of decline before further cuts.</w:t>
            </w:r>
          </w:p>
        </w:tc>
      </w:tr>
    </w:tbl>
    <w:p>
      <w:pPr>
        <w:pStyle w:val="Heading1"/>
        <w:spacing w:after="100" w:before="200"/>
      </w:pPr>
      <w:r>
        <w:rPr>
          <w:b/>
          <w:bCs/>
          <w:color w:val="1F4E79"/>
          <w:sz w:val="26"/>
          <w:szCs w:val="26"/>
        </w:rPr>
        <w:t xml:space="preserve">Business Recommendations</w:t>
      </w:r>
    </w:p>
    <w:p>
      <w:pPr>
        <w:pStyle w:val="ListParagraph"/>
        <w:numPr>
          <w:ilvl w:val="0"/>
          <w:numId w:val="1"/>
        </w:numPr>
        <w:spacing w:after="60"/>
      </w:pPr>
      <w:r>
        <w:rPr>
          <w:sz w:val="21"/>
          <w:szCs w:val="21"/>
        </w:rPr>
        <w:t xml:space="preserve">Shift inventory investment toward the East region. East is both our most stable region historically and shows the strongest forecasted growth (+70% next quarter) — reallocating safety stock and warehouse capacity here reduces stockout risk where demand is accelerating fastest.</w:t>
      </w:r>
    </w:p>
    <w:p>
      <w:pPr>
        <w:pStyle w:val="ListParagraph"/>
        <w:numPr>
          <w:ilvl w:val="0"/>
          <w:numId w:val="1"/>
        </w:numPr>
        <w:spacing w:after="60"/>
      </w:pPr>
      <w:r>
        <w:rPr>
          <w:sz w:val="21"/>
          <w:szCs w:val="21"/>
        </w:rPr>
        <w:t xml:space="preserve">Build a dedicated, closely-monitored reorder process for Copiers. This single sub-category shows explosive growth (+480%) and the highest average order value ($2,216) of any product — a stockout here carries outsized revenue risk relative to its inventory footprint.</w:t>
      </w:r>
    </w:p>
    <w:p>
      <w:pPr>
        <w:pStyle w:val="ListParagraph"/>
        <w:numPr>
          <w:ilvl w:val="0"/>
          <w:numId w:val="1"/>
        </w:numPr>
        <w:spacing w:after="60"/>
      </w:pPr>
      <w:r>
        <w:rPr>
          <w:sz w:val="21"/>
          <w:szCs w:val="21"/>
        </w:rPr>
        <w:t xml:space="preserve">Pre-position holiday inventory 6–8 weeks ahead of November. Sales spikes to roughly double the normal weekly baseline every holiday season, and our forecast's uncertainty range widens considerably heading into December ($80,300–$134,100) — buffer stock should be built up before, not during, the surge.</w:t>
      </w:r>
    </w:p>
    <w:p>
      <w:pPr>
        <w:pStyle w:val="Heading1"/>
        <w:spacing w:after="100" w:before="200"/>
      </w:pPr>
      <w:r>
        <w:rPr>
          <w:b/>
          <w:bCs/>
          <w:color w:val="1F4E79"/>
          <w:sz w:val="26"/>
          <w:szCs w:val="26"/>
        </w:rPr>
        <w:t xml:space="preserve">Risk &amp; Limitations</w:t>
      </w:r>
    </w:p>
    <w:p>
      <w:pPr>
        <w:spacing w:after="120"/>
      </w:pPr>
      <w:r>
        <w:rPr>
          <w:sz w:val="21"/>
          <w:szCs w:val="21"/>
        </w:rPr>
        <w:t xml:space="preserve">This system is trained on only 45 months of historical data — a relatively small sample for statistical forecasting. All three models underestimated the size of the November holiday spike in our test period, meaning peak-season demand is the area where forecasts are least reliable and should be padded with extra safety stock rather than followed exactly. We recommend retraining the model monthly as new sales data arrives, and cross-checking forecasts against known business context (planned promotions, macroeconomic conditions) before finalizing large purchasing decisions.</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2026-07-11T11:21:07.410Z</dcterms:created>
  <dcterms:modified xsi:type="dcterms:W3CDTF">2026-07-11T11:21:07.410Z</dcterms:modified>
</cp:coreProperties>
</file>

<file path=docProps/custom.xml><?xml version="1.0" encoding="utf-8"?>
<Properties xmlns="http://schemas.openxmlformats.org/officeDocument/2006/custom-properties" xmlns:vt="http://schemas.openxmlformats.org/officeDocument/2006/docPropsVTypes"/>
</file>