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90" w:before="0" w:line="276"/>
      </w:pPr>
      <w:r>
        <w:rPr>
          <w:rFonts w:ascii="Calibri" w:cs="Calibri" w:eastAsia="Calibri" w:hAnsi="Calibri"/>
          <w:b/>
          <w:bCs/>
          <w:i w:val="false"/>
          <w:iCs w:val="false"/>
          <w:caps/>
          <w:color w:val="162F6A"/>
          <w:spacing w:val="18"/>
          <w:sz w:val="16"/>
          <w:szCs w:val="16"/>
        </w:rPr>
        <w:t xml:space="preserve">Department of Social Justice &amp; Empowerment  ·  Website Content Governance</w:t>
      </w:r>
    </w:p>
    <w:p>
      <w:pPr>
        <w:spacing w:after="110" w:before="0" w:line="296"/>
      </w:pPr>
      <w:r>
        <w:rPr>
          <w:rFonts w:ascii="Georgia" w:cs="Georgia" w:eastAsia="Georgia" w:hAnsi="Georgia"/>
          <w:b/>
          <w:bCs/>
          <w:i w:val="false"/>
          <w:iCs w:val="false"/>
          <w:caps w:val="false"/>
          <w:color w:val="1B2130"/>
          <w:sz w:val="38"/>
          <w:szCs w:val="38"/>
        </w:rPr>
        <w:t xml:space="preserve">Repeated Content and Design Inconsistencies Across the Website</w:t>
      </w:r>
    </w:p>
    <w:p>
      <w:pPr>
        <w:spacing w:after="190" w:before="0" w:line="288"/>
      </w:pPr>
      <w:r>
        <w:rPr>
          <w:rFonts w:ascii="Calibri" w:cs="Calibri" w:eastAsia="Calibri" w:hAnsi="Calibri"/>
          <w:b w:val="false"/>
          <w:bCs w:val="false"/>
          <w:i w:val="false"/>
          <w:iCs w:val="false"/>
          <w:caps w:val="false"/>
          <w:color w:val="5F6779"/>
          <w:sz w:val="22"/>
          <w:szCs w:val="22"/>
        </w:rPr>
        <w:t xml:space="preserve">Document A, Section 01 — revised. A measured audit of www.dosje.gov.in covering content that exists in more than one place, and the visual rules the site applies differently from page to page.</w:t>
      </w:r>
    </w:p>
    <w:p>
      <w:pPr>
        <w:pBdr>
          <w:bottom w:val="single" w:color="162F6A" w:sz="12"/>
        </w:pBdr>
        <w:spacing w:after="60" w:before="40"/>
      </w:pPr>
      <w:r>
        <w:rPr>
          <w:rFonts w:ascii="Calibri" w:cs="Calibri" w:eastAsia="Calibri" w:hAnsi="Calibri"/>
          <w:b w:val="false"/>
          <w:bCs w:val="false"/>
          <w:i w:val="false"/>
          <w:iCs w:val="false"/>
          <w:caps w:val="false"/>
          <w:color w:val="333A48"/>
          <w:sz w:val="21"/>
          <w:szCs w:val="21"/>
        </w:rPr>
        <w:t xml:space="preserve"/>
      </w:r>
    </w:p>
    <w:p>
      <w:pPr>
        <w:spacing w:after="300" w:before="0" w:line="276"/>
      </w:pPr>
      <w:r>
        <w:rPr>
          <w:rFonts w:ascii="Calibri" w:cs="Calibri" w:eastAsia="Calibri" w:hAnsi="Calibri"/>
          <w:b w:val="false"/>
          <w:bCs w:val="false"/>
          <w:i w:val="false"/>
          <w:iCs w:val="false"/>
          <w:caps w:val="false"/>
          <w:color w:val="5F6779"/>
          <w:sz w:val="17"/>
          <w:szCs w:val="17"/>
        </w:rPr>
        <w:t xml:space="preserve">Audited 7 September 2026</w:t>
      </w:r>
      <w:r>
        <w:rPr>
          <w:rFonts w:ascii="Calibri" w:cs="Calibri" w:eastAsia="Calibri" w:hAnsi="Calibri"/>
          <w:b w:val="false"/>
          <w:bCs w:val="false"/>
          <w:i w:val="false"/>
          <w:iCs w:val="false"/>
          <w:caps w:val="false"/>
          <w:color w:val="C9CFDC"/>
          <w:sz w:val="17"/>
          <w:szCs w:val="17"/>
        </w:rPr>
        <w:t xml:space="preserve">     ·     </w:t>
      </w:r>
      <w:r>
        <w:rPr>
          <w:rFonts w:ascii="Calibri" w:cs="Calibri" w:eastAsia="Calibri" w:hAnsi="Calibri"/>
          <w:b w:val="false"/>
          <w:bCs w:val="false"/>
          <w:i w:val="false"/>
          <w:iCs w:val="false"/>
          <w:caps w:val="false"/>
          <w:color w:val="5F6779"/>
          <w:sz w:val="17"/>
          <w:szCs w:val="17"/>
        </w:rPr>
        <w:t xml:space="preserve">74 live pages examined</w:t>
      </w:r>
      <w:r>
        <w:rPr>
          <w:rFonts w:ascii="Calibri" w:cs="Calibri" w:eastAsia="Calibri" w:hAnsi="Calibri"/>
          <w:b w:val="false"/>
          <w:bCs w:val="false"/>
          <w:i w:val="false"/>
          <w:iCs w:val="false"/>
          <w:caps w:val="false"/>
          <w:color w:val="C9CFDC"/>
          <w:sz w:val="17"/>
          <w:szCs w:val="17"/>
        </w:rPr>
        <w:t xml:space="preserve">     ·     </w:t>
      </w:r>
      <w:r>
        <w:rPr>
          <w:rFonts w:ascii="Calibri" w:cs="Calibri" w:eastAsia="Calibri" w:hAnsi="Calibri"/>
          <w:b w:val="false"/>
          <w:bCs w:val="false"/>
          <w:i w:val="false"/>
          <w:iCs w:val="false"/>
          <w:caps w:val="false"/>
          <w:color w:val="5F6779"/>
          <w:sz w:val="17"/>
          <w:szCs w:val="17"/>
        </w:rPr>
        <w:t xml:space="preserve">Every figure measured, none estimated</w:t>
      </w:r>
    </w:p>
    <w:p>
      <w:pPr>
        <w:keepNext/>
        <w:spacing w:after="110" w:before="340" w:line="276"/>
      </w:pPr>
      <w:r>
        <w:rPr>
          <w:rFonts w:ascii="Georgia" w:cs="Georgia" w:eastAsia="Georgia" w:hAnsi="Georgia"/>
          <w:b/>
          <w:bCs/>
          <w:i w:val="false"/>
          <w:iCs w:val="false"/>
          <w:caps w:val="false"/>
          <w:color w:val="162F6A"/>
          <w:sz w:val="30"/>
          <w:szCs w:val="30"/>
        </w:rPr>
        <w:t xml:space="preserve">How This Was Measured</w:t>
      </w:r>
    </w:p>
    <w:p>
      <w:pPr>
        <w:spacing w:after="140" w:before="0" w:line="276"/>
      </w:pPr>
      <w:r>
        <w:rPr>
          <w:rFonts w:ascii="Calibri" w:cs="Calibri" w:eastAsia="Calibri" w:hAnsi="Calibri"/>
          <w:b w:val="false"/>
          <w:bCs w:val="false"/>
          <w:i w:val="false"/>
          <w:iCs w:val="false"/>
          <w:caps w:val="false"/>
          <w:color w:val="333A48"/>
          <w:sz w:val="21"/>
          <w:szCs w:val="21"/>
        </w:rPr>
        <w:t xml:space="preserve">Nothing in this section is an impression. Fifty-two organisation pages of the four repeated types were downloaded and compared word by word; twenty-two pages covering every page type on the site were examined for headings, colours, type sizes and date formats; and the browser’s own rendered values were read directly from four representative pages, so the figures are what a visitor’s screen actually shows rather than what the stylesheet intends.</w:t>
      </w:r>
    </w:p>
    <w:p>
      <w:pPr>
        <w:spacing w:after="140" w:before="0" w:line="276"/>
      </w:pPr>
      <w:r>
        <w:rPr>
          <w:rFonts w:ascii="Calibri" w:cs="Calibri" w:eastAsia="Calibri" w:hAnsi="Calibri"/>
          <w:b w:val="false"/>
          <w:bCs w:val="false"/>
          <w:i w:val="false"/>
          <w:iCs w:val="false"/>
          <w:caps w:val="false"/>
          <w:color w:val="333A48"/>
          <w:sz w:val="21"/>
          <w:szCs w:val="21"/>
        </w:rPr>
        <w:t xml:space="preserve">Where a finding corrects something stated elsewhere in this governance review, that is said plainly. One such correction appears at the end, and it matters.</w:t>
      </w:r>
    </w:p>
    <w:p>
      <w:pPr>
        <w:keepNext/>
        <w:spacing w:after="110" w:before="340" w:line="276"/>
      </w:pPr>
      <w:r>
        <w:rPr>
          <w:rFonts w:ascii="Georgia" w:cs="Georgia" w:eastAsia="Georgia" w:hAnsi="Georgia"/>
          <w:b/>
          <w:bCs/>
          <w:i w:val="false"/>
          <w:iCs w:val="false"/>
          <w:caps w:val="false"/>
          <w:color w:val="162F6A"/>
          <w:sz w:val="30"/>
          <w:szCs w:val="30"/>
        </w:rPr>
        <w:t xml:space="preserve">Part One — Content That Exists in More Than One Place</w:t>
      </w:r>
    </w:p>
    <w:p>
      <w:pPr>
        <w:keepNext/>
        <w:spacing w:after="80" w:before="230" w:line="276"/>
      </w:pPr>
      <w:r>
        <w:rPr>
          <w:rFonts w:ascii="Consolas" w:cs="Consolas" w:eastAsia="Consolas" w:hAnsi="Consolas"/>
          <w:b/>
          <w:bCs/>
          <w:i w:val="false"/>
          <w:iCs w:val="false"/>
          <w:caps w:val="false"/>
          <w:color w:val="8C2B2B"/>
          <w:sz w:val="16"/>
          <w:szCs w:val="16"/>
        </w:rPr>
        <w:t xml:space="preserve">1.1  </w:t>
      </w:r>
      <w:r>
        <w:rPr>
          <w:rFonts w:ascii="Georgia" w:cs="Georgia" w:eastAsia="Georgia" w:hAnsi="Georgia"/>
          <w:b/>
          <w:bCs/>
          <w:i w:val="false"/>
          <w:iCs w:val="false"/>
          <w:caps w:val="false"/>
          <w:color w:val="1B2130"/>
          <w:sz w:val="21"/>
          <w:szCs w:val="21"/>
        </w:rPr>
        <w:t xml:space="preserve">The Same Page Exists Once Per Organisation — but Its Content Is Not the Same</w:t>
      </w:r>
    </w:p>
    <w:p>
      <w:pPr>
        <w:spacing w:after="140" w:before="0" w:line="276"/>
      </w:pPr>
      <w:r>
        <w:rPr>
          <w:rFonts w:ascii="Calibri" w:cs="Calibri" w:eastAsia="Calibri" w:hAnsi="Calibri"/>
          <w:b w:val="false"/>
          <w:bCs w:val="false"/>
          <w:i w:val="false"/>
          <w:iCs w:val="false"/>
          <w:caps w:val="false"/>
          <w:color w:val="333A48"/>
          <w:sz w:val="21"/>
          <w:szCs w:val="21"/>
        </w:rPr>
        <w:t xml:space="preserve">Four page types are repeated across the organisations. The structure repeats; the writing does not. The final column is the average word-for-word similarity between every pair of pages in that family.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50"/>
        <w:gridCol w:w="880"/>
        <w:gridCol w:w="2450"/>
        <w:gridCol w:w="1420"/>
        <w:gridCol w:w="2938"/>
      </w:tblGrid>
      <w:tr>
        <w:trPr>
          <w:tblHeader/>
        </w:trPr>
        <w:tc>
          <w:tcPr>
            <w:tcW w:type="dxa" w:w="1950"/>
            <w:tcBorders>
              <w:top w:val="single" w:color="C9CFDC" w:sz="2"/>
              <w:left w:val="none" w:color="FFFFFF" w:sz="0"/>
              <w:bottom w:val="single" w:color="C9CFDC" w:sz="2"/>
              <w:right w:val="none" w:color="FFFFFF" w:sz="0"/>
            </w:tcBorders>
            <w:shd w:fill="EDF0F7" w:color="auto" w:val="clear"/>
            <w:tcMar>
              <w:top w:type="dxa" w:w="75"/>
              <w:left w:type="dxa" w:w="125"/>
              <w:bottom w:type="dxa" w:w="75"/>
              <w:right w:type="dxa" w:w="125"/>
            </w:tcMar>
            <w:vAlign w:val="top"/>
          </w:tcPr>
          <w:p>
            <w:pPr>
              <w:spacing w:after="0" w:before="0" w:line="235"/>
            </w:pPr>
            <w:r>
              <w:rPr>
                <w:rFonts w:ascii="Calibri" w:cs="Calibri" w:eastAsia="Calibri" w:hAnsi="Calibri"/>
                <w:b/>
                <w:bCs/>
                <w:i w:val="false"/>
                <w:iCs w:val="false"/>
                <w:caps/>
                <w:color w:val="162F6A"/>
                <w:spacing w:val="16"/>
                <w:sz w:val="16"/>
                <w:szCs w:val="16"/>
              </w:rPr>
              <w:t xml:space="preserve">Page type</w:t>
            </w:r>
          </w:p>
        </w:tc>
        <w:tc>
          <w:tcPr>
            <w:tcW w:type="dxa" w:w="880"/>
            <w:tcBorders>
              <w:top w:val="single" w:color="C9CFDC" w:sz="2"/>
              <w:left w:val="none" w:color="FFFFFF" w:sz="0"/>
              <w:bottom w:val="single" w:color="C9CFDC" w:sz="2"/>
              <w:right w:val="none" w:color="FFFFFF" w:sz="0"/>
            </w:tcBorders>
            <w:shd w:fill="EDF0F7" w:color="auto" w:val="clear"/>
            <w:tcMar>
              <w:top w:type="dxa" w:w="75"/>
              <w:left w:type="dxa" w:w="125"/>
              <w:bottom w:type="dxa" w:w="75"/>
              <w:right w:type="dxa" w:w="125"/>
            </w:tcMar>
            <w:vAlign w:val="top"/>
          </w:tcPr>
          <w:p>
            <w:pPr>
              <w:spacing w:after="0" w:before="0" w:line="235"/>
              <w:jc w:val="right"/>
            </w:pPr>
            <w:r>
              <w:rPr>
                <w:rFonts w:ascii="Calibri" w:cs="Calibri" w:eastAsia="Calibri" w:hAnsi="Calibri"/>
                <w:b/>
                <w:bCs/>
                <w:i w:val="false"/>
                <w:iCs w:val="false"/>
                <w:caps/>
                <w:color w:val="162F6A"/>
                <w:spacing w:val="16"/>
                <w:sz w:val="16"/>
                <w:szCs w:val="16"/>
              </w:rPr>
              <w:t xml:space="preserve">Copies</w:t>
            </w:r>
          </w:p>
        </w:tc>
        <w:tc>
          <w:tcPr>
            <w:tcW w:type="dxa" w:w="2450"/>
            <w:tcBorders>
              <w:top w:val="single" w:color="C9CFDC" w:sz="2"/>
              <w:left w:val="none" w:color="FFFFFF" w:sz="0"/>
              <w:bottom w:val="single" w:color="C9CFDC" w:sz="2"/>
              <w:right w:val="none" w:color="FFFFFF" w:sz="0"/>
            </w:tcBorders>
            <w:shd w:fill="EDF0F7" w:color="auto" w:val="clear"/>
            <w:tcMar>
              <w:top w:type="dxa" w:w="75"/>
              <w:left w:type="dxa" w:w="125"/>
              <w:bottom w:type="dxa" w:w="75"/>
              <w:right w:type="dxa" w:w="125"/>
            </w:tcMar>
            <w:vAlign w:val="top"/>
          </w:tcPr>
          <w:p>
            <w:pPr>
              <w:spacing w:after="0" w:before="0" w:line="235"/>
            </w:pPr>
            <w:r>
              <w:rPr>
                <w:rFonts w:ascii="Calibri" w:cs="Calibri" w:eastAsia="Calibri" w:hAnsi="Calibri"/>
                <w:b/>
                <w:bCs/>
                <w:i w:val="false"/>
                <w:iCs w:val="false"/>
                <w:caps/>
                <w:color w:val="162F6A"/>
                <w:spacing w:val="16"/>
                <w:sz w:val="16"/>
                <w:szCs w:val="16"/>
              </w:rPr>
              <w:t xml:space="preserve">Web addresses used</w:t>
            </w:r>
          </w:p>
        </w:tc>
        <w:tc>
          <w:tcPr>
            <w:tcW w:type="dxa" w:w="1420"/>
            <w:tcBorders>
              <w:top w:val="single" w:color="C9CFDC" w:sz="2"/>
              <w:left w:val="none" w:color="FFFFFF" w:sz="0"/>
              <w:bottom w:val="single" w:color="C9CFDC" w:sz="2"/>
              <w:right w:val="none" w:color="FFFFFF" w:sz="0"/>
            </w:tcBorders>
            <w:shd w:fill="EDF0F7" w:color="auto" w:val="clear"/>
            <w:tcMar>
              <w:top w:type="dxa" w:w="75"/>
              <w:left w:type="dxa" w:w="125"/>
              <w:bottom w:type="dxa" w:w="75"/>
              <w:right w:type="dxa" w:w="125"/>
            </w:tcMar>
            <w:vAlign w:val="top"/>
          </w:tcPr>
          <w:p>
            <w:pPr>
              <w:spacing w:after="0" w:before="0" w:line="235"/>
              <w:jc w:val="right"/>
            </w:pPr>
            <w:r>
              <w:rPr>
                <w:rFonts w:ascii="Calibri" w:cs="Calibri" w:eastAsia="Calibri" w:hAnsi="Calibri"/>
                <w:b/>
                <w:bCs/>
                <w:i w:val="false"/>
                <w:iCs w:val="false"/>
                <w:caps/>
                <w:color w:val="162F6A"/>
                <w:spacing w:val="16"/>
                <w:sz w:val="16"/>
                <w:szCs w:val="16"/>
              </w:rPr>
              <w:t xml:space="preserve">Similarity</w:t>
            </w:r>
          </w:p>
        </w:tc>
        <w:tc>
          <w:tcPr>
            <w:tcW w:type="dxa" w:w="2938"/>
            <w:tcBorders>
              <w:top w:val="single" w:color="C9CFDC" w:sz="2"/>
              <w:left w:val="none" w:color="FFFFFF" w:sz="0"/>
              <w:bottom w:val="single" w:color="C9CFDC" w:sz="2"/>
              <w:right w:val="none" w:color="FFFFFF" w:sz="0"/>
            </w:tcBorders>
            <w:shd w:fill="EDF0F7" w:color="auto" w:val="clear"/>
            <w:tcMar>
              <w:top w:type="dxa" w:w="75"/>
              <w:left w:type="dxa" w:w="125"/>
              <w:bottom w:type="dxa" w:w="75"/>
              <w:right w:type="dxa" w:w="125"/>
            </w:tcMar>
            <w:vAlign w:val="top"/>
          </w:tcPr>
          <w:p>
            <w:pPr>
              <w:spacing w:after="0" w:before="0" w:line="235"/>
            </w:pPr>
            <w:r>
              <w:rPr>
                <w:rFonts w:ascii="Calibri" w:cs="Calibri" w:eastAsia="Calibri" w:hAnsi="Calibri"/>
                <w:b/>
                <w:bCs/>
                <w:i w:val="false"/>
                <w:iCs w:val="false"/>
                <w:caps/>
                <w:color w:val="162F6A"/>
                <w:spacing w:val="16"/>
                <w:sz w:val="16"/>
                <w:szCs w:val="16"/>
              </w:rPr>
              <w:t xml:space="preserve">What follows from it</w:t>
            </w:r>
          </w:p>
        </w:tc>
      </w:tr>
      <w:tr>
        <w:tc>
          <w:tcPr>
            <w:tcW w:type="dxa" w:w="1950"/>
            <w:tcBorders>
              <w:top w:val="single" w:color="C9CFDC" w:sz="2"/>
              <w:left w:val="none" w:color="FFFFFF" w:sz="0"/>
              <w:bottom w:val="single" w:color="C9CFDC" w:sz="2"/>
              <w:right w:val="none" w:color="FFFFFF" w:sz="0"/>
            </w:tcBorders>
            <w:tcMar>
              <w:top w:type="dxa" w:w="75"/>
              <w:left w:type="dxa" w:w="125"/>
              <w:bottom w:type="dxa" w:w="75"/>
              <w:right w:type="dxa" w:w="125"/>
            </w:tcMar>
            <w:vAlign w:val="top"/>
          </w:tcPr>
          <w:p>
            <w:pPr>
              <w:spacing w:after="0" w:before="0" w:line="248"/>
            </w:pPr>
            <w:r>
              <w:rPr>
                <w:rFonts w:ascii="Calibri" w:cs="Calibri" w:eastAsia="Calibri" w:hAnsi="Calibri"/>
                <w:b/>
                <w:bCs/>
                <w:i w:val="false"/>
                <w:iCs w:val="false"/>
                <w:caps w:val="false"/>
                <w:color w:val="1B2130"/>
                <w:sz w:val="21"/>
                <w:szCs w:val="21"/>
              </w:rPr>
              <w:t xml:space="preserve">About Us</w:t>
            </w:r>
          </w:p>
        </w:tc>
        <w:tc>
          <w:tcPr>
            <w:tcW w:type="dxa" w:w="880"/>
            <w:tcBorders>
              <w:top w:val="single" w:color="C9CFDC" w:sz="2"/>
              <w:left w:val="none" w:color="FFFFFF" w:sz="0"/>
              <w:bottom w:val="single" w:color="C9CFDC" w:sz="2"/>
              <w:right w:val="none" w:color="FFFFFF" w:sz="0"/>
            </w:tcBorders>
            <w:tcMar>
              <w:top w:type="dxa" w:w="75"/>
              <w:left w:type="dxa" w:w="125"/>
              <w:bottom w:type="dxa" w:w="75"/>
              <w:right w:type="dxa" w:w="125"/>
            </w:tcMar>
            <w:vAlign w:val="top"/>
          </w:tcPr>
          <w:p>
            <w:pPr>
              <w:spacing w:after="0" w:before="0" w:line="248"/>
              <w:jc w:val="right"/>
            </w:pPr>
            <w:r>
              <w:rPr>
                <w:rFonts w:ascii="Consolas" w:cs="Consolas" w:eastAsia="Consolas" w:hAnsi="Consolas"/>
                <w:b w:val="false"/>
                <w:bCs w:val="false"/>
                <w:i w:val="false"/>
                <w:iCs w:val="false"/>
                <w:caps w:val="false"/>
                <w:color w:val="333A48"/>
                <w:sz w:val="21"/>
                <w:szCs w:val="21"/>
              </w:rPr>
              <w:t xml:space="preserve">16</w:t>
            </w:r>
          </w:p>
        </w:tc>
        <w:tc>
          <w:tcPr>
            <w:tcW w:type="dxa" w:w="2450"/>
            <w:tcBorders>
              <w:top w:val="single" w:color="C9CFDC" w:sz="2"/>
              <w:left w:val="none" w:color="FFFFFF" w:sz="0"/>
              <w:bottom w:val="single" w:color="C9CFDC" w:sz="2"/>
              <w:right w:val="none" w:color="FFFFFF" w:sz="0"/>
            </w:tcBorders>
            <w:tcMar>
              <w:top w:type="dxa" w:w="75"/>
              <w:left w:type="dxa" w:w="125"/>
              <w:bottom w:type="dxa" w:w="75"/>
              <w:right w:type="dxa" w:w="125"/>
            </w:tcMar>
            <w:vAlign w:val="top"/>
          </w:tcPr>
          <w:p>
            <w:pPr>
              <w:spacing w:after="0" w:before="0" w:line="248"/>
            </w:pPr>
            <w:r>
              <w:rPr>
                <w:rFonts w:ascii="Consolas" w:cs="Consolas" w:eastAsia="Consolas" w:hAnsi="Consolas"/>
                <w:b w:val="false"/>
                <w:bCs w:val="false"/>
                <w:i w:val="false"/>
                <w:iCs w:val="false"/>
                <w:caps w:val="false"/>
                <w:color w:val="5F6779"/>
                <w:sz w:val="18"/>
                <w:szCs w:val="18"/>
              </w:rPr>
              <w:t xml:space="preserve">about-us (15), about-bjrnf (1)</w:t>
            </w:r>
          </w:p>
        </w:tc>
        <w:tc>
          <w:tcPr>
            <w:tcW w:type="dxa" w:w="1420"/>
            <w:tcBorders>
              <w:top w:val="single" w:color="C9CFDC" w:sz="2"/>
              <w:left w:val="none" w:color="FFFFFF" w:sz="0"/>
              <w:bottom w:val="single" w:color="C9CFDC" w:sz="2"/>
              <w:right w:val="none" w:color="FFFFFF" w:sz="0"/>
            </w:tcBorders>
            <w:tcMar>
              <w:top w:type="dxa" w:w="75"/>
              <w:left w:type="dxa" w:w="125"/>
              <w:bottom w:type="dxa" w:w="75"/>
              <w:right w:type="dxa" w:w="125"/>
            </w:tcMar>
            <w:vAlign w:val="top"/>
          </w:tcPr>
          <w:p>
            <w:pPr>
              <w:spacing w:after="0" w:before="0" w:line="248"/>
              <w:jc w:val="right"/>
            </w:pPr>
            <w:r>
              <w:rPr>
                <w:rFonts w:ascii="Consolas" w:cs="Consolas" w:eastAsia="Consolas" w:hAnsi="Consolas"/>
                <w:b/>
                <w:bCs/>
                <w:i w:val="false"/>
                <w:iCs w:val="false"/>
                <w:caps w:val="false"/>
                <w:color w:val="8C2B2B"/>
                <w:sz w:val="21"/>
                <w:szCs w:val="21"/>
              </w:rPr>
              <w:t xml:space="preserve">2%</w:t>
            </w:r>
          </w:p>
        </w:tc>
        <w:tc>
          <w:tcPr>
            <w:tcW w:type="dxa" w:w="2938"/>
            <w:tcBorders>
              <w:top w:val="single" w:color="C9CFDC" w:sz="2"/>
              <w:left w:val="none" w:color="FFFFFF" w:sz="0"/>
              <w:bottom w:val="single" w:color="C9CFDC" w:sz="2"/>
              <w:right w:val="none" w:color="FFFFFF" w:sz="0"/>
            </w:tcBorders>
            <w:tcMar>
              <w:top w:type="dxa" w:w="75"/>
              <w:left w:type="dxa" w:w="125"/>
              <w:bottom w:type="dxa" w:w="75"/>
              <w:right w:type="dxa" w:w="125"/>
            </w:tcMar>
            <w:vAlign w:val="top"/>
          </w:tcPr>
          <w:p>
            <w:pPr>
              <w:spacing w:after="0" w:before="0" w:line="248"/>
            </w:pPr>
            <w:r>
              <w:rPr>
                <w:rFonts w:ascii="Calibri" w:cs="Calibri" w:eastAsia="Calibri" w:hAnsi="Calibri"/>
                <w:b w:val="false"/>
                <w:bCs w:val="false"/>
                <w:i w:val="false"/>
                <w:iCs w:val="false"/>
                <w:caps w:val="false"/>
                <w:color w:val="333A48"/>
                <w:sz w:val="19"/>
                <w:szCs w:val="19"/>
              </w:rPr>
              <w:t xml:space="preserve">Each is a distinct history, 1,585 to 15,240 characters long</w:t>
            </w:r>
          </w:p>
        </w:tc>
      </w:tr>
      <w:tr>
        <w:tc>
          <w:tcPr>
            <w:tcW w:type="dxa" w:w="1950"/>
            <w:tcBorders>
              <w:top w:val="single" w:color="C9CFDC" w:sz="2"/>
              <w:left w:val="none" w:color="FFFFFF" w:sz="0"/>
              <w:bottom w:val="single" w:color="C9CFDC" w:sz="2"/>
              <w:right w:val="none" w:color="FFFFFF" w:sz="0"/>
            </w:tcBorders>
            <w:shd w:fill="F7F8FC" w:color="auto" w:val="clear"/>
            <w:tcMar>
              <w:top w:type="dxa" w:w="75"/>
              <w:left w:type="dxa" w:w="125"/>
              <w:bottom w:type="dxa" w:w="75"/>
              <w:right w:type="dxa" w:w="125"/>
            </w:tcMar>
            <w:vAlign w:val="top"/>
          </w:tcPr>
          <w:p>
            <w:pPr>
              <w:spacing w:after="0" w:before="0" w:line="248"/>
            </w:pPr>
            <w:r>
              <w:rPr>
                <w:rFonts w:ascii="Calibri" w:cs="Calibri" w:eastAsia="Calibri" w:hAnsi="Calibri"/>
                <w:b/>
                <w:bCs/>
                <w:i w:val="false"/>
                <w:iCs w:val="false"/>
                <w:caps w:val="false"/>
                <w:color w:val="1B2130"/>
                <w:sz w:val="21"/>
                <w:szCs w:val="21"/>
              </w:rPr>
              <w:t xml:space="preserve">Contact</w:t>
            </w:r>
          </w:p>
        </w:tc>
        <w:tc>
          <w:tcPr>
            <w:tcW w:type="dxa" w:w="880"/>
            <w:tcBorders>
              <w:top w:val="single" w:color="C9CFDC" w:sz="2"/>
              <w:left w:val="none" w:color="FFFFFF" w:sz="0"/>
              <w:bottom w:val="single" w:color="C9CFDC" w:sz="2"/>
              <w:right w:val="none" w:color="FFFFFF" w:sz="0"/>
            </w:tcBorders>
            <w:shd w:fill="F7F8FC" w:color="auto" w:val="clear"/>
            <w:tcMar>
              <w:top w:type="dxa" w:w="75"/>
              <w:left w:type="dxa" w:w="125"/>
              <w:bottom w:type="dxa" w:w="75"/>
              <w:right w:type="dxa" w:w="125"/>
            </w:tcMar>
            <w:vAlign w:val="top"/>
          </w:tcPr>
          <w:p>
            <w:pPr>
              <w:spacing w:after="0" w:before="0" w:line="248"/>
              <w:jc w:val="right"/>
            </w:pPr>
            <w:r>
              <w:rPr>
                <w:rFonts w:ascii="Consolas" w:cs="Consolas" w:eastAsia="Consolas" w:hAnsi="Consolas"/>
                <w:b w:val="false"/>
                <w:bCs w:val="false"/>
                <w:i w:val="false"/>
                <w:iCs w:val="false"/>
                <w:caps w:val="false"/>
                <w:color w:val="333A48"/>
                <w:sz w:val="21"/>
                <w:szCs w:val="21"/>
              </w:rPr>
              <w:t xml:space="preserve">18</w:t>
            </w:r>
          </w:p>
        </w:tc>
        <w:tc>
          <w:tcPr>
            <w:tcW w:type="dxa" w:w="2450"/>
            <w:tcBorders>
              <w:top w:val="single" w:color="C9CFDC" w:sz="2"/>
              <w:left w:val="none" w:color="FFFFFF" w:sz="0"/>
              <w:bottom w:val="single" w:color="C9CFDC" w:sz="2"/>
              <w:right w:val="none" w:color="FFFFFF" w:sz="0"/>
            </w:tcBorders>
            <w:shd w:fill="F7F8FC" w:color="auto" w:val="clear"/>
            <w:tcMar>
              <w:top w:type="dxa" w:w="75"/>
              <w:left w:type="dxa" w:w="125"/>
              <w:bottom w:type="dxa" w:w="75"/>
              <w:right w:type="dxa" w:w="125"/>
            </w:tcMar>
            <w:vAlign w:val="top"/>
          </w:tcPr>
          <w:p>
            <w:pPr>
              <w:spacing w:after="0" w:before="0" w:line="248"/>
            </w:pPr>
            <w:r>
              <w:rPr>
                <w:rFonts w:ascii="Consolas" w:cs="Consolas" w:eastAsia="Consolas" w:hAnsi="Consolas"/>
                <w:b w:val="false"/>
                <w:bCs w:val="false"/>
                <w:i w:val="false"/>
                <w:iCs w:val="false"/>
                <w:caps w:val="false"/>
                <w:color w:val="5F6779"/>
                <w:sz w:val="18"/>
                <w:szCs w:val="18"/>
              </w:rPr>
              <w:t xml:space="preserve">contact-us (13), contact (5)</w:t>
            </w:r>
          </w:p>
        </w:tc>
        <w:tc>
          <w:tcPr>
            <w:tcW w:type="dxa" w:w="1420"/>
            <w:tcBorders>
              <w:top w:val="single" w:color="C9CFDC" w:sz="2"/>
              <w:left w:val="none" w:color="FFFFFF" w:sz="0"/>
              <w:bottom w:val="single" w:color="C9CFDC" w:sz="2"/>
              <w:right w:val="none" w:color="FFFFFF" w:sz="0"/>
            </w:tcBorders>
            <w:shd w:fill="F7F8FC" w:color="auto" w:val="clear"/>
            <w:tcMar>
              <w:top w:type="dxa" w:w="75"/>
              <w:left w:type="dxa" w:w="125"/>
              <w:bottom w:type="dxa" w:w="75"/>
              <w:right w:type="dxa" w:w="125"/>
            </w:tcMar>
            <w:vAlign w:val="top"/>
          </w:tcPr>
          <w:p>
            <w:pPr>
              <w:spacing w:after="0" w:before="0" w:line="248"/>
              <w:jc w:val="right"/>
            </w:pPr>
            <w:r>
              <w:rPr>
                <w:rFonts w:ascii="Consolas" w:cs="Consolas" w:eastAsia="Consolas" w:hAnsi="Consolas"/>
                <w:b/>
                <w:bCs/>
                <w:i w:val="false"/>
                <w:iCs w:val="false"/>
                <w:caps w:val="false"/>
                <w:color w:val="1F5E3A"/>
                <w:sz w:val="21"/>
                <w:szCs w:val="21"/>
              </w:rPr>
              <w:t xml:space="preserve">14–19%</w:t>
            </w:r>
          </w:p>
        </w:tc>
        <w:tc>
          <w:tcPr>
            <w:tcW w:type="dxa" w:w="2938"/>
            <w:tcBorders>
              <w:top w:val="single" w:color="C9CFDC" w:sz="2"/>
              <w:left w:val="none" w:color="FFFFFF" w:sz="0"/>
              <w:bottom w:val="single" w:color="C9CFDC" w:sz="2"/>
              <w:right w:val="none" w:color="FFFFFF" w:sz="0"/>
            </w:tcBorders>
            <w:shd w:fill="F7F8FC" w:color="auto" w:val="clear"/>
            <w:tcMar>
              <w:top w:type="dxa" w:w="75"/>
              <w:left w:type="dxa" w:w="125"/>
              <w:bottom w:type="dxa" w:w="75"/>
              <w:right w:type="dxa" w:w="125"/>
            </w:tcMar>
            <w:vAlign w:val="top"/>
          </w:tcPr>
          <w:p>
            <w:pPr>
              <w:spacing w:after="0" w:before="0" w:line="248"/>
            </w:pPr>
            <w:r>
              <w:rPr>
                <w:rFonts w:ascii="Calibri" w:cs="Calibri" w:eastAsia="Calibri" w:hAnsi="Calibri"/>
                <w:b w:val="false"/>
                <w:bCs w:val="false"/>
                <w:i w:val="false"/>
                <w:iCs w:val="false"/>
                <w:caps w:val="false"/>
                <w:color w:val="333A48"/>
                <w:sz w:val="19"/>
                <w:szCs w:val="19"/>
              </w:rPr>
              <w:t xml:space="preserve">Short and structured. The one genuine candidate for a single template</w:t>
            </w:r>
          </w:p>
        </w:tc>
      </w:tr>
      <w:tr>
        <w:tc>
          <w:tcPr>
            <w:tcW w:type="dxa" w:w="1950"/>
            <w:tcBorders>
              <w:top w:val="single" w:color="C9CFDC" w:sz="2"/>
              <w:left w:val="none" w:color="FFFFFF" w:sz="0"/>
              <w:bottom w:val="single" w:color="C9CFDC" w:sz="2"/>
              <w:right w:val="none" w:color="FFFFFF" w:sz="0"/>
            </w:tcBorders>
            <w:tcMar>
              <w:top w:type="dxa" w:w="75"/>
              <w:left w:type="dxa" w:w="125"/>
              <w:bottom w:type="dxa" w:w="75"/>
              <w:right w:type="dxa" w:w="125"/>
            </w:tcMar>
            <w:vAlign w:val="top"/>
          </w:tcPr>
          <w:p>
            <w:pPr>
              <w:spacing w:after="0" w:before="0" w:line="248"/>
            </w:pPr>
            <w:r>
              <w:rPr>
                <w:rFonts w:ascii="Calibri" w:cs="Calibri" w:eastAsia="Calibri" w:hAnsi="Calibri"/>
                <w:b/>
                <w:bCs/>
                <w:i w:val="false"/>
                <w:iCs w:val="false"/>
                <w:caps w:val="false"/>
                <w:color w:val="1B2130"/>
                <w:sz w:val="21"/>
                <w:szCs w:val="21"/>
              </w:rPr>
              <w:t xml:space="preserve">FAQ</w:t>
            </w:r>
          </w:p>
        </w:tc>
        <w:tc>
          <w:tcPr>
            <w:tcW w:type="dxa" w:w="880"/>
            <w:tcBorders>
              <w:top w:val="single" w:color="C9CFDC" w:sz="2"/>
              <w:left w:val="none" w:color="FFFFFF" w:sz="0"/>
              <w:bottom w:val="single" w:color="C9CFDC" w:sz="2"/>
              <w:right w:val="none" w:color="FFFFFF" w:sz="0"/>
            </w:tcBorders>
            <w:tcMar>
              <w:top w:type="dxa" w:w="75"/>
              <w:left w:type="dxa" w:w="125"/>
              <w:bottom w:type="dxa" w:w="75"/>
              <w:right w:type="dxa" w:w="125"/>
            </w:tcMar>
            <w:vAlign w:val="top"/>
          </w:tcPr>
          <w:p>
            <w:pPr>
              <w:spacing w:after="0" w:before="0" w:line="248"/>
              <w:jc w:val="right"/>
            </w:pPr>
            <w:r>
              <w:rPr>
                <w:rFonts w:ascii="Consolas" w:cs="Consolas" w:eastAsia="Consolas" w:hAnsi="Consolas"/>
                <w:b w:val="false"/>
                <w:bCs w:val="false"/>
                <w:i w:val="false"/>
                <w:iCs w:val="false"/>
                <w:caps w:val="false"/>
                <w:color w:val="333A48"/>
                <w:sz w:val="21"/>
                <w:szCs w:val="21"/>
              </w:rPr>
              <w:t xml:space="preserve">11</w:t>
            </w:r>
          </w:p>
        </w:tc>
        <w:tc>
          <w:tcPr>
            <w:tcW w:type="dxa" w:w="2450"/>
            <w:tcBorders>
              <w:top w:val="single" w:color="C9CFDC" w:sz="2"/>
              <w:left w:val="none" w:color="FFFFFF" w:sz="0"/>
              <w:bottom w:val="single" w:color="C9CFDC" w:sz="2"/>
              <w:right w:val="none" w:color="FFFFFF" w:sz="0"/>
            </w:tcBorders>
            <w:tcMar>
              <w:top w:type="dxa" w:w="75"/>
              <w:left w:type="dxa" w:w="125"/>
              <w:bottom w:type="dxa" w:w="75"/>
              <w:right w:type="dxa" w:w="125"/>
            </w:tcMar>
            <w:vAlign w:val="top"/>
          </w:tcPr>
          <w:p>
            <w:pPr>
              <w:spacing w:after="0" w:before="0" w:line="248"/>
            </w:pPr>
            <w:r>
              <w:rPr>
                <w:rFonts w:ascii="Consolas" w:cs="Consolas" w:eastAsia="Consolas" w:hAnsi="Consolas"/>
                <w:b w:val="false"/>
                <w:bCs w:val="false"/>
                <w:i w:val="false"/>
                <w:iCs w:val="false"/>
                <w:caps w:val="false"/>
                <w:color w:val="5F6779"/>
                <w:sz w:val="18"/>
                <w:szCs w:val="18"/>
              </w:rPr>
              <w:t xml:space="preserve">faq (7), faqs (4)</w:t>
            </w:r>
          </w:p>
        </w:tc>
        <w:tc>
          <w:tcPr>
            <w:tcW w:type="dxa" w:w="1420"/>
            <w:tcBorders>
              <w:top w:val="single" w:color="C9CFDC" w:sz="2"/>
              <w:left w:val="none" w:color="FFFFFF" w:sz="0"/>
              <w:bottom w:val="single" w:color="C9CFDC" w:sz="2"/>
              <w:right w:val="none" w:color="FFFFFF" w:sz="0"/>
            </w:tcBorders>
            <w:tcMar>
              <w:top w:type="dxa" w:w="75"/>
              <w:left w:type="dxa" w:w="125"/>
              <w:bottom w:type="dxa" w:w="75"/>
              <w:right w:type="dxa" w:w="125"/>
            </w:tcMar>
            <w:vAlign w:val="top"/>
          </w:tcPr>
          <w:p>
            <w:pPr>
              <w:spacing w:after="0" w:before="0" w:line="248"/>
              <w:jc w:val="right"/>
            </w:pPr>
            <w:r>
              <w:rPr>
                <w:rFonts w:ascii="Consolas" w:cs="Consolas" w:eastAsia="Consolas" w:hAnsi="Consolas"/>
                <w:b/>
                <w:bCs/>
                <w:i w:val="false"/>
                <w:iCs w:val="false"/>
                <w:caps w:val="false"/>
                <w:color w:val="8C2B2B"/>
                <w:sz w:val="21"/>
                <w:szCs w:val="21"/>
              </w:rPr>
              <w:t xml:space="preserve">2%</w:t>
            </w:r>
          </w:p>
        </w:tc>
        <w:tc>
          <w:tcPr>
            <w:tcW w:type="dxa" w:w="2938"/>
            <w:tcBorders>
              <w:top w:val="single" w:color="C9CFDC" w:sz="2"/>
              <w:left w:val="none" w:color="FFFFFF" w:sz="0"/>
              <w:bottom w:val="single" w:color="C9CFDC" w:sz="2"/>
              <w:right w:val="none" w:color="FFFFFF" w:sz="0"/>
            </w:tcBorders>
            <w:tcMar>
              <w:top w:type="dxa" w:w="75"/>
              <w:left w:type="dxa" w:w="125"/>
              <w:bottom w:type="dxa" w:w="75"/>
              <w:right w:type="dxa" w:w="125"/>
            </w:tcMar>
            <w:vAlign w:val="top"/>
          </w:tcPr>
          <w:p>
            <w:pPr>
              <w:spacing w:after="0" w:before="0" w:line="248"/>
            </w:pPr>
            <w:r>
              <w:rPr>
                <w:rFonts w:ascii="Calibri" w:cs="Calibri" w:eastAsia="Calibri" w:hAnsi="Calibri"/>
                <w:b w:val="false"/>
                <w:bCs w:val="false"/>
                <w:i w:val="false"/>
                <w:iCs w:val="false"/>
                <w:caps w:val="false"/>
                <w:color w:val="333A48"/>
                <w:sz w:val="19"/>
                <w:szCs w:val="19"/>
              </w:rPr>
              <w:t xml:space="preserve">Entirely different questions, 8,138 to 82,692 characters</w:t>
            </w:r>
          </w:p>
        </w:tc>
      </w:tr>
      <w:tr>
        <w:tc>
          <w:tcPr>
            <w:tcW w:type="dxa" w:w="1950"/>
            <w:tcBorders>
              <w:top w:val="single" w:color="C9CFDC" w:sz="2"/>
              <w:left w:val="none" w:color="FFFFFF" w:sz="0"/>
              <w:bottom w:val="single" w:color="C9CFDC" w:sz="2"/>
              <w:right w:val="none" w:color="FFFFFF" w:sz="0"/>
            </w:tcBorders>
            <w:shd w:fill="F7F8FC" w:color="auto" w:val="clear"/>
            <w:tcMar>
              <w:top w:type="dxa" w:w="75"/>
              <w:left w:type="dxa" w:w="125"/>
              <w:bottom w:type="dxa" w:w="75"/>
              <w:right w:type="dxa" w:w="125"/>
            </w:tcMar>
            <w:vAlign w:val="top"/>
          </w:tcPr>
          <w:p>
            <w:pPr>
              <w:spacing w:after="0" w:before="0" w:line="248"/>
            </w:pPr>
            <w:r>
              <w:rPr>
                <w:rFonts w:ascii="Calibri" w:cs="Calibri" w:eastAsia="Calibri" w:hAnsi="Calibri"/>
                <w:b/>
                <w:bCs/>
                <w:i w:val="false"/>
                <w:iCs w:val="false"/>
                <w:caps w:val="false"/>
                <w:color w:val="1B2130"/>
                <w:sz w:val="21"/>
                <w:szCs w:val="21"/>
              </w:rPr>
              <w:t xml:space="preserve">RTI</w:t>
            </w:r>
          </w:p>
        </w:tc>
        <w:tc>
          <w:tcPr>
            <w:tcW w:type="dxa" w:w="880"/>
            <w:tcBorders>
              <w:top w:val="single" w:color="C9CFDC" w:sz="2"/>
              <w:left w:val="none" w:color="FFFFFF" w:sz="0"/>
              <w:bottom w:val="single" w:color="C9CFDC" w:sz="2"/>
              <w:right w:val="none" w:color="FFFFFF" w:sz="0"/>
            </w:tcBorders>
            <w:shd w:fill="F7F8FC" w:color="auto" w:val="clear"/>
            <w:tcMar>
              <w:top w:type="dxa" w:w="75"/>
              <w:left w:type="dxa" w:w="125"/>
              <w:bottom w:type="dxa" w:w="75"/>
              <w:right w:type="dxa" w:w="125"/>
            </w:tcMar>
            <w:vAlign w:val="top"/>
          </w:tcPr>
          <w:p>
            <w:pPr>
              <w:spacing w:after="0" w:before="0" w:line="248"/>
              <w:jc w:val="right"/>
            </w:pPr>
            <w:r>
              <w:rPr>
                <w:rFonts w:ascii="Consolas" w:cs="Consolas" w:eastAsia="Consolas" w:hAnsi="Consolas"/>
                <w:b w:val="false"/>
                <w:bCs w:val="false"/>
                <w:i w:val="false"/>
                <w:iCs w:val="false"/>
                <w:caps w:val="false"/>
                <w:color w:val="333A48"/>
                <w:sz w:val="21"/>
                <w:szCs w:val="21"/>
              </w:rPr>
              <w:t xml:space="preserve">7</w:t>
            </w:r>
          </w:p>
        </w:tc>
        <w:tc>
          <w:tcPr>
            <w:tcW w:type="dxa" w:w="2450"/>
            <w:tcBorders>
              <w:top w:val="single" w:color="C9CFDC" w:sz="2"/>
              <w:left w:val="none" w:color="FFFFFF" w:sz="0"/>
              <w:bottom w:val="single" w:color="C9CFDC" w:sz="2"/>
              <w:right w:val="none" w:color="FFFFFF" w:sz="0"/>
            </w:tcBorders>
            <w:shd w:fill="F7F8FC" w:color="auto" w:val="clear"/>
            <w:tcMar>
              <w:top w:type="dxa" w:w="75"/>
              <w:left w:type="dxa" w:w="125"/>
              <w:bottom w:type="dxa" w:w="75"/>
              <w:right w:type="dxa" w:w="125"/>
            </w:tcMar>
            <w:vAlign w:val="top"/>
          </w:tcPr>
          <w:p>
            <w:pPr>
              <w:spacing w:after="0" w:before="0" w:line="248"/>
            </w:pPr>
            <w:r>
              <w:rPr>
                <w:rFonts w:ascii="Consolas" w:cs="Consolas" w:eastAsia="Consolas" w:hAnsi="Consolas"/>
                <w:b w:val="false"/>
                <w:bCs w:val="false"/>
                <w:i w:val="false"/>
                <w:iCs w:val="false"/>
                <w:caps w:val="false"/>
                <w:color w:val="5F6779"/>
                <w:sz w:val="18"/>
                <w:szCs w:val="18"/>
              </w:rPr>
              <w:t xml:space="preserve">rti</w:t>
            </w:r>
          </w:p>
        </w:tc>
        <w:tc>
          <w:tcPr>
            <w:tcW w:type="dxa" w:w="1420"/>
            <w:tcBorders>
              <w:top w:val="single" w:color="C9CFDC" w:sz="2"/>
              <w:left w:val="none" w:color="FFFFFF" w:sz="0"/>
              <w:bottom w:val="single" w:color="C9CFDC" w:sz="2"/>
              <w:right w:val="none" w:color="FFFFFF" w:sz="0"/>
            </w:tcBorders>
            <w:shd w:fill="F7F8FC" w:color="auto" w:val="clear"/>
            <w:tcMar>
              <w:top w:type="dxa" w:w="75"/>
              <w:left w:type="dxa" w:w="125"/>
              <w:bottom w:type="dxa" w:w="75"/>
              <w:right w:type="dxa" w:w="125"/>
            </w:tcMar>
            <w:vAlign w:val="top"/>
          </w:tcPr>
          <w:p>
            <w:pPr>
              <w:spacing w:after="0" w:before="0" w:line="248"/>
              <w:jc w:val="right"/>
            </w:pPr>
            <w:r>
              <w:rPr>
                <w:rFonts w:ascii="Consolas" w:cs="Consolas" w:eastAsia="Consolas" w:hAnsi="Consolas"/>
                <w:b/>
                <w:bCs/>
                <w:i w:val="false"/>
                <w:iCs w:val="false"/>
                <w:caps w:val="false"/>
                <w:color w:val="8C2B2B"/>
                <w:sz w:val="21"/>
                <w:szCs w:val="21"/>
              </w:rPr>
              <w:t xml:space="preserve">6%</w:t>
            </w:r>
          </w:p>
        </w:tc>
        <w:tc>
          <w:tcPr>
            <w:tcW w:type="dxa" w:w="2938"/>
            <w:tcBorders>
              <w:top w:val="single" w:color="C9CFDC" w:sz="2"/>
              <w:left w:val="none" w:color="FFFFFF" w:sz="0"/>
              <w:bottom w:val="single" w:color="C9CFDC" w:sz="2"/>
              <w:right w:val="none" w:color="FFFFFF" w:sz="0"/>
            </w:tcBorders>
            <w:shd w:fill="F7F8FC" w:color="auto" w:val="clear"/>
            <w:tcMar>
              <w:top w:type="dxa" w:w="75"/>
              <w:left w:type="dxa" w:w="125"/>
              <w:bottom w:type="dxa" w:w="75"/>
              <w:right w:type="dxa" w:w="125"/>
            </w:tcMar>
            <w:vAlign w:val="top"/>
          </w:tcPr>
          <w:p>
            <w:pPr>
              <w:spacing w:after="0" w:before="0" w:line="248"/>
            </w:pPr>
            <w:r>
              <w:rPr>
                <w:rFonts w:ascii="Calibri" w:cs="Calibri" w:eastAsia="Calibri" w:hAnsi="Calibri"/>
                <w:b w:val="false"/>
                <w:bCs w:val="false"/>
                <w:i w:val="false"/>
                <w:iCs w:val="false"/>
                <w:caps w:val="false"/>
                <w:color w:val="333A48"/>
                <w:sz w:val="19"/>
                <w:szCs w:val="19"/>
              </w:rPr>
              <w:t xml:space="preserve">Mixed; three carry almost nothing</w:t>
            </w:r>
          </w:p>
        </w:tc>
      </w:tr>
    </w:tbl>
    <w:p>
      <w:pPr>
        <w:spacing w:after="210" w:before="70" w:line="276"/>
      </w:pPr>
      <w:r>
        <w:rPr>
          <w:rFonts w:ascii="Calibri" w:cs="Calibri" w:eastAsia="Calibri" w:hAnsi="Calibri"/>
          <w:b w:val="false"/>
          <w:bCs w:val="false"/>
          <w:i/>
          <w:iCs/>
          <w:caps w:val="false"/>
          <w:color w:val="5F6779"/>
          <w:sz w:val="16"/>
          <w:szCs w:val="16"/>
        </w:rPr>
        <w:t xml:space="preserve">Fifty-two pages in total. Similarity measured on the main content area only, headers and menus excluded.</w:t>
      </w:r>
    </w:p>
    <w:p>
      <w:pPr>
        <w:keepNext/>
        <w:spacing w:after="80" w:before="230" w:line="276"/>
      </w:pPr>
      <w:r>
        <w:rPr>
          <w:rFonts w:ascii="Consolas" w:cs="Consolas" w:eastAsia="Consolas" w:hAnsi="Consolas"/>
          <w:b/>
          <w:bCs/>
          <w:i w:val="false"/>
          <w:iCs w:val="false"/>
          <w:caps w:val="false"/>
          <w:color w:val="8C2B2B"/>
          <w:sz w:val="16"/>
          <w:szCs w:val="16"/>
        </w:rPr>
        <w:t xml:space="preserve">1.2  </w:t>
      </w:r>
      <w:r>
        <w:rPr>
          <w:rFonts w:ascii="Georgia" w:cs="Georgia" w:eastAsia="Georgia" w:hAnsi="Georgia"/>
          <w:b/>
          <w:bCs/>
          <w:i w:val="false"/>
          <w:iCs w:val="false"/>
          <w:caps w:val="false"/>
          <w:color w:val="1B2130"/>
          <w:sz w:val="21"/>
          <w:szCs w:val="21"/>
        </w:rPr>
        <w:t xml:space="preserve">One Page Type, Three Different Web Addresses</w:t>
      </w:r>
    </w:p>
    <w:p>
      <w:pPr>
        <w:spacing w:after="140" w:before="0" w:line="276"/>
      </w:pPr>
      <w:r>
        <w:rPr>
          <w:rFonts w:ascii="Calibri" w:cs="Calibri" w:eastAsia="Calibri" w:hAnsi="Calibri"/>
          <w:b w:val="false"/>
          <w:bCs w:val="false"/>
          <w:i w:val="false"/>
          <w:iCs w:val="false"/>
          <w:caps w:val="false"/>
          <w:color w:val="333A48"/>
          <w:sz w:val="21"/>
          <w:szCs w:val="21"/>
        </w:rPr>
        <w:t xml:space="preserve">The same kind of page is filed under different addresses depending on who created it — About Us and About BJRNF; Contact Us and Contact; FAQ and FAQs. Nothing on the site can therefore gather them into one list, which is the reason the central Contact Us page had to be typed out by hand rather than assembled from the organisations’ own pages.</w:t>
      </w:r>
    </w:p>
    <w:p>
      <w:pPr>
        <w:keepNext/>
        <w:spacing w:after="80" w:before="230" w:line="276"/>
      </w:pPr>
      <w:r>
        <w:rPr>
          <w:rFonts w:ascii="Consolas" w:cs="Consolas" w:eastAsia="Consolas" w:hAnsi="Consolas"/>
          <w:b/>
          <w:bCs/>
          <w:i w:val="false"/>
          <w:iCs w:val="false"/>
          <w:caps w:val="false"/>
          <w:color w:val="8C2B2B"/>
          <w:sz w:val="16"/>
          <w:szCs w:val="16"/>
        </w:rPr>
        <w:t xml:space="preserve">1.3  </w:t>
      </w:r>
      <w:r>
        <w:rPr>
          <w:rFonts w:ascii="Georgia" w:cs="Georgia" w:eastAsia="Georgia" w:hAnsi="Georgia"/>
          <w:b/>
          <w:bCs/>
          <w:i w:val="false"/>
          <w:iCs w:val="false"/>
          <w:caps w:val="false"/>
          <w:color w:val="1B2130"/>
          <w:sz w:val="21"/>
          <w:szCs w:val="21"/>
        </w:rPr>
        <w:t xml:space="preserve">Four Published Pages Are Effectively Blank</w:t>
      </w:r>
    </w:p>
    <w:p>
      <w:pPr>
        <w:spacing w:after="140" w:before="0" w:line="276"/>
      </w:pPr>
      <w:r>
        <w:rPr>
          <w:rFonts w:ascii="Calibri" w:cs="Calibri" w:eastAsia="Calibri" w:hAnsi="Calibri"/>
          <w:b w:val="false"/>
          <w:bCs w:val="false"/>
          <w:i w:val="false"/>
          <w:iCs w:val="false"/>
          <w:caps w:val="false"/>
          <w:color w:val="333A48"/>
          <w:sz w:val="21"/>
          <w:szCs w:val="21"/>
        </w:rPr>
        <w:t xml:space="preserve">Three organisation Contact pages hold fewer than 120 characters of content, and one RTI page holds 104. They are live and reachable from the menus. A visitor who follows the link is shown an empty page rather than told the information is not yet published.</w:t>
      </w:r>
    </w:p>
    <w:p>
      <w:pPr>
        <w:keepNext/>
        <w:spacing w:after="80" w:before="230" w:line="276"/>
      </w:pPr>
      <w:r>
        <w:rPr>
          <w:rFonts w:ascii="Consolas" w:cs="Consolas" w:eastAsia="Consolas" w:hAnsi="Consolas"/>
          <w:b/>
          <w:bCs/>
          <w:i w:val="false"/>
          <w:iCs w:val="false"/>
          <w:caps w:val="false"/>
          <w:color w:val="8C2B2B"/>
          <w:sz w:val="16"/>
          <w:szCs w:val="16"/>
        </w:rPr>
        <w:t xml:space="preserve">1.4  </w:t>
      </w:r>
      <w:r>
        <w:rPr>
          <w:rFonts w:ascii="Georgia" w:cs="Georgia" w:eastAsia="Georgia" w:hAnsi="Georgia"/>
          <w:b/>
          <w:bCs/>
          <w:i w:val="false"/>
          <w:iCs w:val="false"/>
          <w:caps w:val="false"/>
          <w:color w:val="1B2130"/>
          <w:sz w:val="21"/>
          <w:szCs w:val="21"/>
        </w:rPr>
        <w:t xml:space="preserve">The Same Page Reached by Several Names</w:t>
      </w:r>
    </w:p>
    <w:p>
      <w:pPr>
        <w:spacing w:after="140" w:before="0" w:line="276"/>
      </w:pPr>
      <w:r>
        <w:rPr>
          <w:rFonts w:ascii="Calibri" w:cs="Calibri" w:eastAsia="Calibri" w:hAnsi="Calibri"/>
          <w:b w:val="false"/>
          <w:bCs w:val="false"/>
          <w:i w:val="false"/>
          <w:iCs w:val="false"/>
          <w:caps w:val="false"/>
          <w:color w:val="333A48"/>
          <w:sz w:val="21"/>
          <w:szCs w:val="21"/>
        </w:rPr>
        <w:t xml:space="preserve">These are not copies of content. They are one page wearing different labels, which leaves a visitor unable to tell whether they have already seen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3200"/>
        <w:gridCol w:w="3038"/>
      </w:tblGrid>
      <w:tr>
        <w:trPr>
          <w:tblHeader/>
        </w:trPr>
        <w:tc>
          <w:tcPr>
            <w:tcW w:type="dxa" w:w="3400"/>
            <w:tcBorders>
              <w:top w:val="single" w:color="C9CFDC" w:sz="2"/>
              <w:left w:val="none" w:color="FFFFFF" w:sz="0"/>
              <w:bottom w:val="single" w:color="C9CFDC" w:sz="2"/>
              <w:right w:val="none" w:color="FFFFFF" w:sz="0"/>
            </w:tcBorders>
            <w:shd w:fill="EDF0F7" w:color="auto" w:val="clear"/>
            <w:tcMar>
              <w:top w:type="dxa" w:w="75"/>
              <w:left w:type="dxa" w:w="125"/>
              <w:bottom w:type="dxa" w:w="75"/>
              <w:right w:type="dxa" w:w="125"/>
            </w:tcMar>
            <w:vAlign w:val="top"/>
          </w:tcPr>
          <w:p>
            <w:pPr>
              <w:spacing w:after="0" w:before="0" w:line="235"/>
            </w:pPr>
            <w:r>
              <w:rPr>
                <w:rFonts w:ascii="Calibri" w:cs="Calibri" w:eastAsia="Calibri" w:hAnsi="Calibri"/>
                <w:b/>
                <w:bCs/>
                <w:i w:val="false"/>
                <w:iCs w:val="false"/>
                <w:caps/>
                <w:color w:val="162F6A"/>
                <w:spacing w:val="16"/>
                <w:sz w:val="16"/>
                <w:szCs w:val="16"/>
              </w:rPr>
              <w:t xml:space="preserve">The page</w:t>
            </w:r>
          </w:p>
        </w:tc>
        <w:tc>
          <w:tcPr>
            <w:tcW w:type="dxa" w:w="3200"/>
            <w:tcBorders>
              <w:top w:val="single" w:color="C9CFDC" w:sz="2"/>
              <w:left w:val="none" w:color="FFFFFF" w:sz="0"/>
              <w:bottom w:val="single" w:color="C9CFDC" w:sz="2"/>
              <w:right w:val="none" w:color="FFFFFF" w:sz="0"/>
            </w:tcBorders>
            <w:shd w:fill="EDF0F7" w:color="auto" w:val="clear"/>
            <w:tcMar>
              <w:top w:type="dxa" w:w="75"/>
              <w:left w:type="dxa" w:w="125"/>
              <w:bottom w:type="dxa" w:w="75"/>
              <w:right w:type="dxa" w:w="125"/>
            </w:tcMar>
            <w:vAlign w:val="top"/>
          </w:tcPr>
          <w:p>
            <w:pPr>
              <w:spacing w:after="0" w:before="0" w:line="235"/>
            </w:pPr>
            <w:r>
              <w:rPr>
                <w:rFonts w:ascii="Calibri" w:cs="Calibri" w:eastAsia="Calibri" w:hAnsi="Calibri"/>
                <w:b/>
                <w:bCs/>
                <w:i w:val="false"/>
                <w:iCs w:val="false"/>
                <w:caps/>
                <w:color w:val="162F6A"/>
                <w:spacing w:val="16"/>
                <w:sz w:val="16"/>
                <w:szCs w:val="16"/>
              </w:rPr>
              <w:t xml:space="preserve">Names it is given</w:t>
            </w:r>
          </w:p>
        </w:tc>
        <w:tc>
          <w:tcPr>
            <w:tcW w:type="dxa" w:w="3038"/>
            <w:tcBorders>
              <w:top w:val="single" w:color="C9CFDC" w:sz="2"/>
              <w:left w:val="none" w:color="FFFFFF" w:sz="0"/>
              <w:bottom w:val="single" w:color="C9CFDC" w:sz="2"/>
              <w:right w:val="none" w:color="FFFFFF" w:sz="0"/>
            </w:tcBorders>
            <w:shd w:fill="EDF0F7" w:color="auto" w:val="clear"/>
            <w:tcMar>
              <w:top w:type="dxa" w:w="75"/>
              <w:left w:type="dxa" w:w="125"/>
              <w:bottom w:type="dxa" w:w="75"/>
              <w:right w:type="dxa" w:w="125"/>
            </w:tcMar>
            <w:vAlign w:val="top"/>
          </w:tcPr>
          <w:p>
            <w:pPr>
              <w:spacing w:after="0" w:before="0" w:line="235"/>
            </w:pPr>
            <w:r>
              <w:rPr>
                <w:rFonts w:ascii="Calibri" w:cs="Calibri" w:eastAsia="Calibri" w:hAnsi="Calibri"/>
                <w:b/>
                <w:bCs/>
                <w:i w:val="false"/>
                <w:iCs w:val="false"/>
                <w:caps/>
                <w:color w:val="162F6A"/>
                <w:spacing w:val="16"/>
                <w:sz w:val="16"/>
                <w:szCs w:val="16"/>
              </w:rPr>
              <w:t xml:space="preserve">Where</w:t>
            </w:r>
          </w:p>
        </w:tc>
      </w:tr>
      <w:tr>
        <w:tc>
          <w:tcPr>
            <w:tcW w:type="dxa" w:w="3400"/>
            <w:tcBorders>
              <w:top w:val="single" w:color="C9CFDC" w:sz="2"/>
              <w:left w:val="none" w:color="FFFFFF" w:sz="0"/>
              <w:bottom w:val="single" w:color="C9CFDC" w:sz="2"/>
              <w:right w:val="none" w:color="FFFFFF" w:sz="0"/>
            </w:tcBorders>
            <w:tcMar>
              <w:top w:type="dxa" w:w="75"/>
              <w:left w:type="dxa" w:w="125"/>
              <w:bottom w:type="dxa" w:w="75"/>
              <w:right w:type="dxa" w:w="125"/>
            </w:tcMar>
            <w:vAlign w:val="top"/>
          </w:tcPr>
          <w:p>
            <w:pPr>
              <w:spacing w:after="0" w:before="0" w:line="248"/>
            </w:pPr>
            <w:r>
              <w:rPr>
                <w:rFonts w:ascii="Calibri" w:cs="Calibri" w:eastAsia="Calibri" w:hAnsi="Calibri"/>
                <w:b/>
                <w:bCs/>
                <w:i w:val="false"/>
                <w:iCs w:val="false"/>
                <w:caps w:val="false"/>
                <w:color w:val="1B2130"/>
                <w:sz w:val="21"/>
                <w:szCs w:val="21"/>
              </w:rPr>
              <w:t xml:space="preserve">Ministry directory</w:t>
            </w:r>
          </w:p>
        </w:tc>
        <w:tc>
          <w:tcPr>
            <w:tcW w:type="dxa" w:w="3200"/>
            <w:tcBorders>
              <w:top w:val="single" w:color="C9CFDC" w:sz="2"/>
              <w:left w:val="none" w:color="FFFFFF" w:sz="0"/>
              <w:bottom w:val="single" w:color="C9CFDC" w:sz="2"/>
              <w:right w:val="none" w:color="FFFFFF" w:sz="0"/>
            </w:tcBorders>
            <w:tcMar>
              <w:top w:type="dxa" w:w="75"/>
              <w:left w:type="dxa" w:w="125"/>
              <w:bottom w:type="dxa" w:w="75"/>
              <w:right w:type="dxa" w:w="125"/>
            </w:tcMar>
            <w:vAlign w:val="top"/>
          </w:tcPr>
          <w:p>
            <w:pPr>
              <w:spacing w:after="0" w:before="0" w:line="248"/>
            </w:pPr>
            <w:r>
              <w:rPr>
                <w:rFonts w:ascii="Calibri" w:cs="Calibri" w:eastAsia="Calibri" w:hAnsi="Calibri"/>
                <w:b w:val="false"/>
                <w:bCs w:val="false"/>
                <w:i w:val="false"/>
                <w:iCs w:val="false"/>
                <w:caps w:val="false"/>
                <w:color w:val="333A48"/>
                <w:sz w:val="19"/>
                <w:szCs w:val="19"/>
              </w:rPr>
              <w:t xml:space="preserve">“Directory” — twice — and “Ministers &amp; Officials”</w:t>
            </w:r>
          </w:p>
        </w:tc>
        <w:tc>
          <w:tcPr>
            <w:tcW w:type="dxa" w:w="3038"/>
            <w:tcBorders>
              <w:top w:val="single" w:color="C9CFDC" w:sz="2"/>
              <w:left w:val="none" w:color="FFFFFF" w:sz="0"/>
              <w:bottom w:val="single" w:color="C9CFDC" w:sz="2"/>
              <w:right w:val="none" w:color="FFFFFF" w:sz="0"/>
            </w:tcBorders>
            <w:tcMar>
              <w:top w:type="dxa" w:w="75"/>
              <w:left w:type="dxa" w:w="125"/>
              <w:bottom w:type="dxa" w:w="75"/>
              <w:right w:type="dxa" w:w="125"/>
            </w:tcMar>
            <w:vAlign w:val="top"/>
          </w:tcPr>
          <w:p>
            <w:pPr>
              <w:spacing w:after="0" w:before="0" w:line="248"/>
            </w:pPr>
            <w:r>
              <w:rPr>
                <w:rFonts w:ascii="Calibri" w:cs="Calibri" w:eastAsia="Calibri" w:hAnsi="Calibri"/>
                <w:b w:val="false"/>
                <w:bCs w:val="false"/>
                <w:i w:val="false"/>
                <w:iCs w:val="false"/>
                <w:caps w:val="false"/>
                <w:color w:val="5F6779"/>
                <w:sz w:val="19"/>
                <w:szCs w:val="19"/>
              </w:rPr>
              <w:t xml:space="preserve">Listed under Department AND under Connect in the same menu; footer</w:t>
            </w:r>
          </w:p>
        </w:tc>
      </w:tr>
      <w:tr>
        <w:tc>
          <w:tcPr>
            <w:tcW w:type="dxa" w:w="3400"/>
            <w:tcBorders>
              <w:top w:val="single" w:color="C9CFDC" w:sz="2"/>
              <w:left w:val="none" w:color="FFFFFF" w:sz="0"/>
              <w:bottom w:val="single" w:color="C9CFDC" w:sz="2"/>
              <w:right w:val="none" w:color="FFFFFF" w:sz="0"/>
            </w:tcBorders>
            <w:shd w:fill="F7F8FC" w:color="auto" w:val="clear"/>
            <w:tcMar>
              <w:top w:type="dxa" w:w="75"/>
              <w:left w:type="dxa" w:w="125"/>
              <w:bottom w:type="dxa" w:w="75"/>
              <w:right w:type="dxa" w:w="125"/>
            </w:tcMar>
            <w:vAlign w:val="top"/>
          </w:tcPr>
          <w:p>
            <w:pPr>
              <w:spacing w:after="0" w:before="0" w:line="248"/>
            </w:pPr>
            <w:r>
              <w:rPr>
                <w:rFonts w:ascii="Calibri" w:cs="Calibri" w:eastAsia="Calibri" w:hAnsi="Calibri"/>
                <w:b/>
                <w:bCs/>
                <w:i w:val="false"/>
                <w:iCs w:val="false"/>
                <w:caps w:val="false"/>
                <w:color w:val="1B2130"/>
                <w:sz w:val="21"/>
                <w:szCs w:val="21"/>
              </w:rPr>
              <w:t xml:space="preserve">About Us</w:t>
            </w:r>
          </w:p>
        </w:tc>
        <w:tc>
          <w:tcPr>
            <w:tcW w:type="dxa" w:w="3200"/>
            <w:tcBorders>
              <w:top w:val="single" w:color="C9CFDC" w:sz="2"/>
              <w:left w:val="none" w:color="FFFFFF" w:sz="0"/>
              <w:bottom w:val="single" w:color="C9CFDC" w:sz="2"/>
              <w:right w:val="none" w:color="FFFFFF" w:sz="0"/>
            </w:tcBorders>
            <w:shd w:fill="F7F8FC" w:color="auto" w:val="clear"/>
            <w:tcMar>
              <w:top w:type="dxa" w:w="75"/>
              <w:left w:type="dxa" w:w="125"/>
              <w:bottom w:type="dxa" w:w="75"/>
              <w:right w:type="dxa" w:w="125"/>
            </w:tcMar>
            <w:vAlign w:val="top"/>
          </w:tcPr>
          <w:p>
            <w:pPr>
              <w:spacing w:after="0" w:before="0" w:line="248"/>
            </w:pPr>
            <w:r>
              <w:rPr>
                <w:rFonts w:ascii="Calibri" w:cs="Calibri" w:eastAsia="Calibri" w:hAnsi="Calibri"/>
                <w:b w:val="false"/>
                <w:bCs w:val="false"/>
                <w:i w:val="false"/>
                <w:iCs w:val="false"/>
                <w:caps w:val="false"/>
                <w:color w:val="333A48"/>
                <w:sz w:val="19"/>
                <w:szCs w:val="19"/>
              </w:rPr>
              <w:t xml:space="preserve">“About Ministry” and “Vision &amp; Mission”</w:t>
            </w:r>
          </w:p>
        </w:tc>
        <w:tc>
          <w:tcPr>
            <w:tcW w:type="dxa" w:w="3038"/>
            <w:tcBorders>
              <w:top w:val="single" w:color="C9CFDC" w:sz="2"/>
              <w:left w:val="none" w:color="FFFFFF" w:sz="0"/>
              <w:bottom w:val="single" w:color="C9CFDC" w:sz="2"/>
              <w:right w:val="none" w:color="FFFFFF" w:sz="0"/>
            </w:tcBorders>
            <w:shd w:fill="F7F8FC" w:color="auto" w:val="clear"/>
            <w:tcMar>
              <w:top w:type="dxa" w:w="75"/>
              <w:left w:type="dxa" w:w="125"/>
              <w:bottom w:type="dxa" w:w="75"/>
              <w:right w:type="dxa" w:w="125"/>
            </w:tcMar>
            <w:vAlign w:val="top"/>
          </w:tcPr>
          <w:p>
            <w:pPr>
              <w:spacing w:after="0" w:before="0" w:line="248"/>
            </w:pPr>
            <w:r>
              <w:rPr>
                <w:rFonts w:ascii="Calibri" w:cs="Calibri" w:eastAsia="Calibri" w:hAnsi="Calibri"/>
                <w:b w:val="false"/>
                <w:bCs w:val="false"/>
                <w:i w:val="false"/>
                <w:iCs w:val="false"/>
                <w:caps w:val="false"/>
                <w:color w:val="5F6779"/>
                <w:sz w:val="19"/>
                <w:szCs w:val="19"/>
              </w:rPr>
              <w:t xml:space="preserve">Both footer links open the same page</w:t>
            </w:r>
          </w:p>
        </w:tc>
      </w:tr>
      <w:tr>
        <w:tc>
          <w:tcPr>
            <w:tcW w:type="dxa" w:w="3400"/>
            <w:tcBorders>
              <w:top w:val="single" w:color="C9CFDC" w:sz="2"/>
              <w:left w:val="none" w:color="FFFFFF" w:sz="0"/>
              <w:bottom w:val="single" w:color="C9CFDC" w:sz="2"/>
              <w:right w:val="none" w:color="FFFFFF" w:sz="0"/>
            </w:tcBorders>
            <w:tcMar>
              <w:top w:type="dxa" w:w="75"/>
              <w:left w:type="dxa" w:w="125"/>
              <w:bottom w:type="dxa" w:w="75"/>
              <w:right w:type="dxa" w:w="125"/>
            </w:tcMar>
            <w:vAlign w:val="top"/>
          </w:tcPr>
          <w:p>
            <w:pPr>
              <w:spacing w:after="0" w:before="0" w:line="248"/>
            </w:pPr>
            <w:r>
              <w:rPr>
                <w:rFonts w:ascii="Calibri" w:cs="Calibri" w:eastAsia="Calibri" w:hAnsi="Calibri"/>
                <w:b/>
                <w:bCs/>
                <w:i w:val="false"/>
                <w:iCs w:val="false"/>
                <w:caps w:val="false"/>
                <w:color w:val="1B2130"/>
                <w:sz w:val="21"/>
                <w:szCs w:val="21"/>
              </w:rPr>
              <w:t xml:space="preserve">Who’s Who</w:t>
            </w:r>
          </w:p>
        </w:tc>
        <w:tc>
          <w:tcPr>
            <w:tcW w:type="dxa" w:w="3200"/>
            <w:tcBorders>
              <w:top w:val="single" w:color="C9CFDC" w:sz="2"/>
              <w:left w:val="none" w:color="FFFFFF" w:sz="0"/>
              <w:bottom w:val="single" w:color="C9CFDC" w:sz="2"/>
              <w:right w:val="none" w:color="FFFFFF" w:sz="0"/>
            </w:tcBorders>
            <w:tcMar>
              <w:top w:type="dxa" w:w="75"/>
              <w:left w:type="dxa" w:w="125"/>
              <w:bottom w:type="dxa" w:w="75"/>
              <w:right w:type="dxa" w:w="125"/>
            </w:tcMar>
            <w:vAlign w:val="top"/>
          </w:tcPr>
          <w:p>
            <w:pPr>
              <w:spacing w:after="0" w:before="0" w:line="248"/>
            </w:pPr>
            <w:r>
              <w:rPr>
                <w:rFonts w:ascii="Calibri" w:cs="Calibri" w:eastAsia="Calibri" w:hAnsi="Calibri"/>
                <w:b w:val="false"/>
                <w:bCs w:val="false"/>
                <w:i w:val="false"/>
                <w:iCs w:val="false"/>
                <w:caps w:val="false"/>
                <w:color w:val="333A48"/>
                <w:sz w:val="19"/>
                <w:szCs w:val="19"/>
              </w:rPr>
              <w:t xml:space="preserve">“Who’s Who” and “Organisational Chart”</w:t>
            </w:r>
          </w:p>
        </w:tc>
        <w:tc>
          <w:tcPr>
            <w:tcW w:type="dxa" w:w="3038"/>
            <w:tcBorders>
              <w:top w:val="single" w:color="C9CFDC" w:sz="2"/>
              <w:left w:val="none" w:color="FFFFFF" w:sz="0"/>
              <w:bottom w:val="single" w:color="C9CFDC" w:sz="2"/>
              <w:right w:val="none" w:color="FFFFFF" w:sz="0"/>
            </w:tcBorders>
            <w:tcMar>
              <w:top w:type="dxa" w:w="75"/>
              <w:left w:type="dxa" w:w="125"/>
              <w:bottom w:type="dxa" w:w="75"/>
              <w:right w:type="dxa" w:w="125"/>
            </w:tcMar>
            <w:vAlign w:val="top"/>
          </w:tcPr>
          <w:p>
            <w:pPr>
              <w:spacing w:after="0" w:before="0" w:line="248"/>
            </w:pPr>
            <w:r>
              <w:rPr>
                <w:rFonts w:ascii="Calibri" w:cs="Calibri" w:eastAsia="Calibri" w:hAnsi="Calibri"/>
                <w:b w:val="false"/>
                <w:bCs w:val="false"/>
                <w:i w:val="false"/>
                <w:iCs w:val="false"/>
                <w:caps w:val="false"/>
                <w:color w:val="5F6779"/>
                <w:sz w:val="19"/>
                <w:szCs w:val="19"/>
              </w:rPr>
              <w:t xml:space="preserve">Main menu; footer</w:t>
            </w:r>
          </w:p>
        </w:tc>
      </w:tr>
      <w:tr>
        <w:tc>
          <w:tcPr>
            <w:tcW w:type="dxa" w:w="3400"/>
            <w:tcBorders>
              <w:top w:val="single" w:color="C9CFDC" w:sz="2"/>
              <w:left w:val="none" w:color="FFFFFF" w:sz="0"/>
              <w:bottom w:val="single" w:color="C9CFDC" w:sz="2"/>
              <w:right w:val="none" w:color="FFFFFF" w:sz="0"/>
            </w:tcBorders>
            <w:shd w:fill="F7F8FC" w:color="auto" w:val="clear"/>
            <w:tcMar>
              <w:top w:type="dxa" w:w="75"/>
              <w:left w:type="dxa" w:w="125"/>
              <w:bottom w:type="dxa" w:w="75"/>
              <w:right w:type="dxa" w:w="125"/>
            </w:tcMar>
            <w:vAlign w:val="top"/>
          </w:tcPr>
          <w:p>
            <w:pPr>
              <w:spacing w:after="0" w:before="0" w:line="248"/>
            </w:pPr>
            <w:r>
              <w:rPr>
                <w:rFonts w:ascii="Calibri" w:cs="Calibri" w:eastAsia="Calibri" w:hAnsi="Calibri"/>
                <w:b/>
                <w:bCs/>
                <w:i w:val="false"/>
                <w:iCs w:val="false"/>
                <w:caps w:val="false"/>
                <w:color w:val="1B2130"/>
                <w:sz w:val="21"/>
                <w:szCs w:val="21"/>
              </w:rPr>
              <w:t xml:space="preserve">Statistics dashboard</w:t>
            </w:r>
          </w:p>
        </w:tc>
        <w:tc>
          <w:tcPr>
            <w:tcW w:type="dxa" w:w="3200"/>
            <w:tcBorders>
              <w:top w:val="single" w:color="C9CFDC" w:sz="2"/>
              <w:left w:val="none" w:color="FFFFFF" w:sz="0"/>
              <w:bottom w:val="single" w:color="C9CFDC" w:sz="2"/>
              <w:right w:val="none" w:color="FFFFFF" w:sz="0"/>
            </w:tcBorders>
            <w:shd w:fill="F7F8FC" w:color="auto" w:val="clear"/>
            <w:tcMar>
              <w:top w:type="dxa" w:w="75"/>
              <w:left w:type="dxa" w:w="125"/>
              <w:bottom w:type="dxa" w:w="75"/>
              <w:right w:type="dxa" w:w="125"/>
            </w:tcMar>
            <w:vAlign w:val="top"/>
          </w:tcPr>
          <w:p>
            <w:pPr>
              <w:spacing w:after="0" w:before="0" w:line="248"/>
            </w:pPr>
            <w:r>
              <w:rPr>
                <w:rFonts w:ascii="Calibri" w:cs="Calibri" w:eastAsia="Calibri" w:hAnsi="Calibri"/>
                <w:b w:val="false"/>
                <w:bCs w:val="false"/>
                <w:i w:val="false"/>
                <w:iCs w:val="false"/>
                <w:caps w:val="false"/>
                <w:color w:val="333A48"/>
                <w:sz w:val="19"/>
                <w:szCs w:val="19"/>
              </w:rPr>
              <w:t xml:space="preserve">“Statistics”</w:t>
            </w:r>
          </w:p>
        </w:tc>
        <w:tc>
          <w:tcPr>
            <w:tcW w:type="dxa" w:w="3038"/>
            <w:tcBorders>
              <w:top w:val="single" w:color="C9CFDC" w:sz="2"/>
              <w:left w:val="none" w:color="FFFFFF" w:sz="0"/>
              <w:bottom w:val="single" w:color="C9CFDC" w:sz="2"/>
              <w:right w:val="none" w:color="FFFFFF" w:sz="0"/>
            </w:tcBorders>
            <w:shd w:fill="F7F8FC" w:color="auto" w:val="clear"/>
            <w:tcMar>
              <w:top w:type="dxa" w:w="75"/>
              <w:left w:type="dxa" w:w="125"/>
              <w:bottom w:type="dxa" w:w="75"/>
              <w:right w:type="dxa" w:w="125"/>
            </w:tcMar>
            <w:vAlign w:val="top"/>
          </w:tcPr>
          <w:p>
            <w:pPr>
              <w:spacing w:after="0" w:before="0" w:line="248"/>
            </w:pPr>
            <w:r>
              <w:rPr>
                <w:rFonts w:ascii="Calibri" w:cs="Calibri" w:eastAsia="Calibri" w:hAnsi="Calibri"/>
                <w:b w:val="false"/>
                <w:bCs w:val="false"/>
                <w:i w:val="false"/>
                <w:iCs w:val="false"/>
                <w:caps w:val="false"/>
                <w:color w:val="5F6779"/>
                <w:sz w:val="19"/>
                <w:szCs w:val="19"/>
              </w:rPr>
              <w:t xml:space="preserve">Footer, while the page itself is titled otherwise</w:t>
            </w:r>
          </w:p>
        </w:tc>
      </w:tr>
      <w:tr>
        <w:tc>
          <w:tcPr>
            <w:tcW w:type="dxa" w:w="3400"/>
            <w:tcBorders>
              <w:top w:val="single" w:color="C9CFDC" w:sz="2"/>
              <w:left w:val="none" w:color="FFFFFF" w:sz="0"/>
              <w:bottom w:val="single" w:color="C9CFDC" w:sz="2"/>
              <w:right w:val="none" w:color="FFFFFF" w:sz="0"/>
            </w:tcBorders>
            <w:tcMar>
              <w:top w:type="dxa" w:w="75"/>
              <w:left w:type="dxa" w:w="125"/>
              <w:bottom w:type="dxa" w:w="75"/>
              <w:right w:type="dxa" w:w="125"/>
            </w:tcMar>
            <w:vAlign w:val="top"/>
          </w:tcPr>
          <w:p>
            <w:pPr>
              <w:spacing w:after="0" w:before="0" w:line="248"/>
            </w:pPr>
            <w:r>
              <w:rPr>
                <w:rFonts w:ascii="Calibri" w:cs="Calibri" w:eastAsia="Calibri" w:hAnsi="Calibri"/>
                <w:b/>
                <w:bCs/>
                <w:i w:val="false"/>
                <w:iCs w:val="false"/>
                <w:caps w:val="false"/>
                <w:color w:val="1B2130"/>
                <w:sz w:val="21"/>
                <w:szCs w:val="21"/>
              </w:rPr>
              <w:t xml:space="preserve">Sitemap</w:t>
            </w:r>
          </w:p>
        </w:tc>
        <w:tc>
          <w:tcPr>
            <w:tcW w:type="dxa" w:w="3200"/>
            <w:tcBorders>
              <w:top w:val="single" w:color="C9CFDC" w:sz="2"/>
              <w:left w:val="none" w:color="FFFFFF" w:sz="0"/>
              <w:bottom w:val="single" w:color="C9CFDC" w:sz="2"/>
              <w:right w:val="none" w:color="FFFFFF" w:sz="0"/>
            </w:tcBorders>
            <w:tcMar>
              <w:top w:type="dxa" w:w="75"/>
              <w:left w:type="dxa" w:w="125"/>
              <w:bottom w:type="dxa" w:w="75"/>
              <w:right w:type="dxa" w:w="125"/>
            </w:tcMar>
            <w:vAlign w:val="top"/>
          </w:tcPr>
          <w:p>
            <w:pPr>
              <w:spacing w:after="0" w:before="0" w:line="248"/>
            </w:pPr>
            <w:r>
              <w:rPr>
                <w:rFonts w:ascii="Calibri" w:cs="Calibri" w:eastAsia="Calibri" w:hAnsi="Calibri"/>
                <w:b w:val="false"/>
                <w:bCs w:val="false"/>
                <w:i w:val="false"/>
                <w:iCs w:val="false"/>
                <w:caps w:val="false"/>
                <w:color w:val="333A48"/>
                <w:sz w:val="19"/>
                <w:szCs w:val="19"/>
              </w:rPr>
              <w:t xml:space="preserve">Two separate sitemap pages exist</w:t>
            </w:r>
          </w:p>
        </w:tc>
        <w:tc>
          <w:tcPr>
            <w:tcW w:type="dxa" w:w="3038"/>
            <w:tcBorders>
              <w:top w:val="single" w:color="C9CFDC" w:sz="2"/>
              <w:left w:val="none" w:color="FFFFFF" w:sz="0"/>
              <w:bottom w:val="single" w:color="C9CFDC" w:sz="2"/>
              <w:right w:val="none" w:color="FFFFFF" w:sz="0"/>
            </w:tcBorders>
            <w:tcMar>
              <w:top w:type="dxa" w:w="75"/>
              <w:left w:type="dxa" w:w="125"/>
              <w:bottom w:type="dxa" w:w="75"/>
              <w:right w:type="dxa" w:w="125"/>
            </w:tcMar>
            <w:vAlign w:val="top"/>
          </w:tcPr>
          <w:p>
            <w:pPr>
              <w:spacing w:after="0" w:before="0" w:line="248"/>
            </w:pPr>
            <w:r>
              <w:rPr>
                <w:rFonts w:ascii="Calibri" w:cs="Calibri" w:eastAsia="Calibri" w:hAnsi="Calibri"/>
                <w:b w:val="false"/>
                <w:bCs w:val="false"/>
                <w:i w:val="false"/>
                <w:iCs w:val="false"/>
                <w:caps w:val="false"/>
                <w:color w:val="5F6779"/>
                <w:sz w:val="19"/>
                <w:szCs w:val="19"/>
              </w:rPr>
              <w:t xml:space="preserve">Main menu and footer point to different ones</w:t>
            </w:r>
          </w:p>
        </w:tc>
      </w:tr>
      <w:tr>
        <w:tc>
          <w:tcPr>
            <w:tcW w:type="dxa" w:w="3400"/>
            <w:tcBorders>
              <w:top w:val="single" w:color="C9CFDC" w:sz="2"/>
              <w:left w:val="none" w:color="FFFFFF" w:sz="0"/>
              <w:bottom w:val="single" w:color="C9CFDC" w:sz="2"/>
              <w:right w:val="none" w:color="FFFFFF" w:sz="0"/>
            </w:tcBorders>
            <w:shd w:fill="F7F8FC" w:color="auto" w:val="clear"/>
            <w:tcMar>
              <w:top w:type="dxa" w:w="75"/>
              <w:left w:type="dxa" w:w="125"/>
              <w:bottom w:type="dxa" w:w="75"/>
              <w:right w:type="dxa" w:w="125"/>
            </w:tcMar>
            <w:vAlign w:val="top"/>
          </w:tcPr>
          <w:p>
            <w:pPr>
              <w:spacing w:after="0" w:before="0" w:line="248"/>
            </w:pPr>
            <w:r>
              <w:rPr>
                <w:rFonts w:ascii="Calibri" w:cs="Calibri" w:eastAsia="Calibri" w:hAnsi="Calibri"/>
                <w:b/>
                <w:bCs/>
                <w:i w:val="false"/>
                <w:iCs w:val="false"/>
                <w:caps w:val="false"/>
                <w:color w:val="1B2130"/>
                <w:sz w:val="21"/>
                <w:szCs w:val="21"/>
              </w:rPr>
              <w:t xml:space="preserve">Four Statistics Division links</w:t>
            </w:r>
          </w:p>
        </w:tc>
        <w:tc>
          <w:tcPr>
            <w:tcW w:type="dxa" w:w="3200"/>
            <w:tcBorders>
              <w:top w:val="single" w:color="C9CFDC" w:sz="2"/>
              <w:left w:val="none" w:color="FFFFFF" w:sz="0"/>
              <w:bottom w:val="single" w:color="C9CFDC" w:sz="2"/>
              <w:right w:val="none" w:color="FFFFFF" w:sz="0"/>
            </w:tcBorders>
            <w:shd w:fill="F7F8FC" w:color="auto" w:val="clear"/>
            <w:tcMar>
              <w:top w:type="dxa" w:w="75"/>
              <w:left w:type="dxa" w:w="125"/>
              <w:bottom w:type="dxa" w:w="75"/>
              <w:right w:type="dxa" w:w="125"/>
            </w:tcMar>
            <w:vAlign w:val="top"/>
          </w:tcPr>
          <w:p>
            <w:pPr>
              <w:spacing w:after="0" w:before="0" w:line="248"/>
            </w:pPr>
            <w:r>
              <w:rPr>
                <w:rFonts w:ascii="Calibri" w:cs="Calibri" w:eastAsia="Calibri" w:hAnsi="Calibri"/>
                <w:b w:val="false"/>
                <w:bCs w:val="false"/>
                <w:i w:val="false"/>
                <w:iCs w:val="false"/>
                <w:caps w:val="false"/>
                <w:color w:val="333A48"/>
                <w:sz w:val="19"/>
                <w:szCs w:val="19"/>
              </w:rPr>
              <w:t xml:space="preserve">All four are labelled “SECC 2011”</w:t>
            </w:r>
          </w:p>
        </w:tc>
        <w:tc>
          <w:tcPr>
            <w:tcW w:type="dxa" w:w="3038"/>
            <w:tcBorders>
              <w:top w:val="single" w:color="C9CFDC" w:sz="2"/>
              <w:left w:val="none" w:color="FFFFFF" w:sz="0"/>
              <w:bottom w:val="single" w:color="C9CFDC" w:sz="2"/>
              <w:right w:val="none" w:color="FFFFFF" w:sz="0"/>
            </w:tcBorders>
            <w:shd w:fill="F7F8FC" w:color="auto" w:val="clear"/>
            <w:tcMar>
              <w:top w:type="dxa" w:w="75"/>
              <w:left w:type="dxa" w:w="125"/>
              <w:bottom w:type="dxa" w:w="75"/>
              <w:right w:type="dxa" w:w="125"/>
            </w:tcMar>
            <w:vAlign w:val="top"/>
          </w:tcPr>
          <w:p>
            <w:pPr>
              <w:spacing w:after="0" w:before="0" w:line="248"/>
            </w:pPr>
            <w:r>
              <w:rPr>
                <w:rFonts w:ascii="Calibri" w:cs="Calibri" w:eastAsia="Calibri" w:hAnsi="Calibri"/>
                <w:b w:val="false"/>
                <w:bCs w:val="false"/>
                <w:i w:val="false"/>
                <w:iCs w:val="false"/>
                <w:caps w:val="false"/>
                <w:color w:val="5F6779"/>
                <w:sz w:val="19"/>
                <w:szCs w:val="19"/>
              </w:rPr>
              <w:t xml:space="preserve">Important Links panel and footer</w:t>
            </w:r>
          </w:p>
        </w:tc>
      </w:tr>
    </w:tbl>
    <w:p>
      <w:pPr>
        <w:spacing w:after="140" w:before="0" w:line="276"/>
      </w:pPr>
      <w:r>
        <w:rPr>
          <w:rFonts w:ascii="Calibri" w:cs="Calibri" w:eastAsia="Calibri" w:hAnsi="Calibri"/>
          <w:b w:val="false"/>
          <w:bCs w:val="false"/>
          <w:i w:val="false"/>
          <w:iCs w:val="false"/>
          <w:caps w:val="false"/>
          <w:color w:val="333A48"/>
          <w:sz w:val="21"/>
          <w:szCs w:val="21"/>
        </w:rPr>
        <w:t xml:space="preserve">The last row is the plainest error of the six. Four consecutive links in the Statistics Division panel carry the label “SECC 2011” while pointing at four different destinations — the SECC website, About the Division, the List of Research Evaluation Studies, and the Handbook on Social Welfare Statistics. Three of the four labels are wrong.</w:t>
      </w:r>
    </w:p>
    <w:p>
      <w:pPr>
        <w:keepNext/>
        <w:spacing w:after="80" w:before="230" w:line="276"/>
      </w:pPr>
      <w:r>
        <w:rPr>
          <w:rFonts w:ascii="Consolas" w:cs="Consolas" w:eastAsia="Consolas" w:hAnsi="Consolas"/>
          <w:b/>
          <w:bCs/>
          <w:i w:val="false"/>
          <w:iCs w:val="false"/>
          <w:caps w:val="false"/>
          <w:color w:val="8C2B2B"/>
          <w:sz w:val="16"/>
          <w:szCs w:val="16"/>
        </w:rPr>
        <w:t xml:space="preserve">1.5  </w:t>
      </w:r>
      <w:r>
        <w:rPr>
          <w:rFonts w:ascii="Georgia" w:cs="Georgia" w:eastAsia="Georgia" w:hAnsi="Georgia"/>
          <w:b/>
          <w:bCs/>
          <w:i w:val="false"/>
          <w:iCs w:val="false"/>
          <w:caps w:val="false"/>
          <w:color w:val="1B2130"/>
          <w:sz w:val="21"/>
          <w:szCs w:val="21"/>
        </w:rPr>
        <w:t xml:space="preserve">The Same Navigation Written Out Four Times</w:t>
      </w:r>
    </w:p>
    <w:p>
      <w:pPr>
        <w:spacing w:after="140" w:before="0" w:line="276"/>
      </w:pPr>
      <w:r>
        <w:rPr>
          <w:rFonts w:ascii="Calibri" w:cs="Calibri" w:eastAsia="Calibri" w:hAnsi="Calibri"/>
          <w:b w:val="false"/>
          <w:bCs w:val="false"/>
          <w:i w:val="false"/>
          <w:iCs w:val="false"/>
          <w:caps w:val="false"/>
          <w:color w:val="333A48"/>
          <w:sz w:val="21"/>
          <w:szCs w:val="21"/>
        </w:rPr>
        <w:t xml:space="preserve">The main menu, the footer’s four columns, the left-hand rails on organisation pages and the Important Links panel each name the same set of pages, in their own words and their own order. A page added to one does not appear in the others, and the four have already drifted apart — which is what rows two and three of the table above are.</w:t>
      </w:r>
    </w:p>
    <w:p>
      <w:pPr>
        <w:keepNext/>
        <w:spacing w:after="80" w:before="230" w:line="276"/>
      </w:pPr>
      <w:r>
        <w:rPr>
          <w:rFonts w:ascii="Consolas" w:cs="Consolas" w:eastAsia="Consolas" w:hAnsi="Consolas"/>
          <w:b/>
          <w:bCs/>
          <w:i w:val="false"/>
          <w:iCs w:val="false"/>
          <w:caps w:val="false"/>
          <w:color w:val="8C2B2B"/>
          <w:sz w:val="16"/>
          <w:szCs w:val="16"/>
        </w:rPr>
        <w:t xml:space="preserve">1.6  </w:t>
      </w:r>
      <w:r>
        <w:rPr>
          <w:rFonts w:ascii="Georgia" w:cs="Georgia" w:eastAsia="Georgia" w:hAnsi="Georgia"/>
          <w:b/>
          <w:bCs/>
          <w:i w:val="false"/>
          <w:iCs w:val="false"/>
          <w:caps w:val="false"/>
          <w:color w:val="1B2130"/>
          <w:sz w:val="21"/>
          <w:szCs w:val="21"/>
        </w:rPr>
        <w:t xml:space="preserve">Leftovers From Renaming</w:t>
      </w:r>
    </w:p>
    <w:p>
      <w:pPr>
        <w:spacing w:after="140" w:before="0" w:line="276"/>
      </w:pPr>
      <w:r>
        <w:rPr>
          <w:rFonts w:ascii="Calibri" w:cs="Calibri" w:eastAsia="Calibri" w:hAnsi="Calibri"/>
          <w:b w:val="false"/>
          <w:bCs w:val="false"/>
          <w:i w:val="false"/>
          <w:iCs w:val="false"/>
          <w:caps w:val="false"/>
          <w:color w:val="333A48"/>
          <w:sz w:val="21"/>
          <w:szCs w:val="21"/>
        </w:rPr>
        <w:t xml:space="preserve">Two pages carry a “-2” suffix left behind when an earlier page of the same name was renamed or removed: the Minutes of Screening Committees, and the NCBC Gazette Notifications. Separately, Success Stories is published under both NSFDC and NBCFDC, with nothing to say which is current.</w:t>
      </w:r>
    </w:p>
    <w:p>
      <w:pPr>
        <w:keepNext/>
        <w:pageBreakBefore/>
        <w:spacing w:after="110" w:before="340" w:line="276"/>
      </w:pPr>
      <w:r>
        <w:rPr>
          <w:rFonts w:ascii="Georgia" w:cs="Georgia" w:eastAsia="Georgia" w:hAnsi="Georgia"/>
          <w:b/>
          <w:bCs/>
          <w:i w:val="false"/>
          <w:iCs w:val="false"/>
          <w:caps w:val="false"/>
          <w:color w:val="162F6A"/>
          <w:sz w:val="30"/>
          <w:szCs w:val="30"/>
        </w:rPr>
        <w:t xml:space="preserve">Part Two — Rules the Site Applies Differently From Page to Page</w:t>
      </w:r>
    </w:p>
    <w:p>
      <w:pPr>
        <w:spacing w:after="140" w:before="0" w:line="276"/>
      </w:pPr>
      <w:r>
        <w:rPr>
          <w:rFonts w:ascii="Calibri" w:cs="Calibri" w:eastAsia="Calibri" w:hAnsi="Calibri"/>
          <w:b w:val="false"/>
          <w:bCs w:val="false"/>
          <w:i w:val="false"/>
          <w:iCs w:val="false"/>
          <w:caps w:val="false"/>
          <w:color w:val="333A48"/>
          <w:sz w:val="21"/>
          <w:szCs w:val="21"/>
        </w:rPr>
        <w:t xml:space="preserve">Every figure below was read from the rendered page, not from the stylesheet.</w:t>
      </w:r>
    </w:p>
    <w:p>
      <w:pPr>
        <w:keepNext/>
        <w:spacing w:after="80" w:before="230" w:line="276"/>
      </w:pPr>
      <w:r>
        <w:rPr>
          <w:rFonts w:ascii="Consolas" w:cs="Consolas" w:eastAsia="Consolas" w:hAnsi="Consolas"/>
          <w:b/>
          <w:bCs/>
          <w:i w:val="false"/>
          <w:iCs w:val="false"/>
          <w:caps w:val="false"/>
          <w:color w:val="8C2B2B"/>
          <w:sz w:val="16"/>
          <w:szCs w:val="16"/>
        </w:rPr>
        <w:t xml:space="preserve">2.1  </w:t>
      </w:r>
      <w:r>
        <w:rPr>
          <w:rFonts w:ascii="Georgia" w:cs="Georgia" w:eastAsia="Georgia" w:hAnsi="Georgia"/>
          <w:b/>
          <w:bCs/>
          <w:i w:val="false"/>
          <w:iCs w:val="false"/>
          <w:caps w:val="false"/>
          <w:color w:val="1B2130"/>
          <w:sz w:val="21"/>
          <w:szCs w:val="21"/>
        </w:rPr>
        <w:t xml:space="preserve">Section Headings — One Job, Three Specifications</w:t>
      </w:r>
    </w:p>
    <w:p>
      <w:pPr>
        <w:spacing w:after="140" w:before="0" w:line="276"/>
      </w:pPr>
      <w:r>
        <w:rPr>
          <w:rFonts w:ascii="Calibri" w:cs="Calibri" w:eastAsia="Calibri" w:hAnsi="Calibri"/>
          <w:b w:val="false"/>
          <w:bCs w:val="false"/>
          <w:i w:val="false"/>
          <w:iCs w:val="false"/>
          <w:caps w:val="false"/>
          <w:color w:val="333A48"/>
          <w:sz w:val="21"/>
          <w:szCs w:val="21"/>
        </w:rPr>
        <w:t xml:space="preserve">These four headings all do the same thing: they open a section. They are set three different ways.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1250"/>
        <w:gridCol w:w="1150"/>
        <w:gridCol w:w="1150"/>
        <w:gridCol w:w="2588"/>
      </w:tblGrid>
      <w:tr>
        <w:trPr>
          <w:tblHeader/>
        </w:trPr>
        <w:tc>
          <w:tcPr>
            <w:tcW w:type="dxa" w:w="3500"/>
            <w:tcBorders>
              <w:top w:val="single" w:color="C9CFDC" w:sz="2"/>
              <w:left w:val="none" w:color="FFFFFF" w:sz="0"/>
              <w:bottom w:val="single" w:color="C9CFDC" w:sz="2"/>
              <w:right w:val="none" w:color="FFFFFF" w:sz="0"/>
            </w:tcBorders>
            <w:shd w:fill="EDF0F7" w:color="auto" w:val="clear"/>
            <w:tcMar>
              <w:top w:type="dxa" w:w="75"/>
              <w:left w:type="dxa" w:w="125"/>
              <w:bottom w:type="dxa" w:w="75"/>
              <w:right w:type="dxa" w:w="125"/>
            </w:tcMar>
            <w:vAlign w:val="top"/>
          </w:tcPr>
          <w:p>
            <w:pPr>
              <w:spacing w:after="0" w:before="0" w:line="235"/>
            </w:pPr>
            <w:r>
              <w:rPr>
                <w:rFonts w:ascii="Calibri" w:cs="Calibri" w:eastAsia="Calibri" w:hAnsi="Calibri"/>
                <w:b/>
                <w:bCs/>
                <w:i w:val="false"/>
                <w:iCs w:val="false"/>
                <w:caps/>
                <w:color w:val="162F6A"/>
                <w:spacing w:val="16"/>
                <w:sz w:val="16"/>
                <w:szCs w:val="16"/>
              </w:rPr>
              <w:t xml:space="preserve">Heading</w:t>
            </w:r>
          </w:p>
        </w:tc>
        <w:tc>
          <w:tcPr>
            <w:tcW w:type="dxa" w:w="1250"/>
            <w:tcBorders>
              <w:top w:val="single" w:color="C9CFDC" w:sz="2"/>
              <w:left w:val="none" w:color="FFFFFF" w:sz="0"/>
              <w:bottom w:val="single" w:color="C9CFDC" w:sz="2"/>
              <w:right w:val="none" w:color="FFFFFF" w:sz="0"/>
            </w:tcBorders>
            <w:shd w:fill="EDF0F7" w:color="auto" w:val="clear"/>
            <w:tcMar>
              <w:top w:type="dxa" w:w="75"/>
              <w:left w:type="dxa" w:w="125"/>
              <w:bottom w:type="dxa" w:w="75"/>
              <w:right w:type="dxa" w:w="125"/>
            </w:tcMar>
            <w:vAlign w:val="top"/>
          </w:tcPr>
          <w:p>
            <w:pPr>
              <w:spacing w:after="0" w:before="0" w:line="235"/>
              <w:jc w:val="center"/>
            </w:pPr>
            <w:r>
              <w:rPr>
                <w:rFonts w:ascii="Calibri" w:cs="Calibri" w:eastAsia="Calibri" w:hAnsi="Calibri"/>
                <w:b/>
                <w:bCs/>
                <w:i w:val="false"/>
                <w:iCs w:val="false"/>
                <w:caps/>
                <w:color w:val="162F6A"/>
                <w:spacing w:val="16"/>
                <w:sz w:val="16"/>
                <w:szCs w:val="16"/>
              </w:rPr>
              <w:t xml:space="preserve">Tag</w:t>
            </w:r>
          </w:p>
        </w:tc>
        <w:tc>
          <w:tcPr>
            <w:tcW w:type="dxa" w:w="1150"/>
            <w:tcBorders>
              <w:top w:val="single" w:color="C9CFDC" w:sz="2"/>
              <w:left w:val="none" w:color="FFFFFF" w:sz="0"/>
              <w:bottom w:val="single" w:color="C9CFDC" w:sz="2"/>
              <w:right w:val="none" w:color="FFFFFF" w:sz="0"/>
            </w:tcBorders>
            <w:shd w:fill="EDF0F7" w:color="auto" w:val="clear"/>
            <w:tcMar>
              <w:top w:type="dxa" w:w="75"/>
              <w:left w:type="dxa" w:w="125"/>
              <w:bottom w:type="dxa" w:w="75"/>
              <w:right w:type="dxa" w:w="125"/>
            </w:tcMar>
            <w:vAlign w:val="top"/>
          </w:tcPr>
          <w:p>
            <w:pPr>
              <w:spacing w:after="0" w:before="0" w:line="235"/>
              <w:jc w:val="right"/>
            </w:pPr>
            <w:r>
              <w:rPr>
                <w:rFonts w:ascii="Calibri" w:cs="Calibri" w:eastAsia="Calibri" w:hAnsi="Calibri"/>
                <w:b/>
                <w:bCs/>
                <w:i w:val="false"/>
                <w:iCs w:val="false"/>
                <w:caps/>
                <w:color w:val="162F6A"/>
                <w:spacing w:val="16"/>
                <w:sz w:val="16"/>
                <w:szCs w:val="16"/>
              </w:rPr>
              <w:t xml:space="preserve">Size</w:t>
            </w:r>
          </w:p>
        </w:tc>
        <w:tc>
          <w:tcPr>
            <w:tcW w:type="dxa" w:w="1150"/>
            <w:tcBorders>
              <w:top w:val="single" w:color="C9CFDC" w:sz="2"/>
              <w:left w:val="none" w:color="FFFFFF" w:sz="0"/>
              <w:bottom w:val="single" w:color="C9CFDC" w:sz="2"/>
              <w:right w:val="none" w:color="FFFFFF" w:sz="0"/>
            </w:tcBorders>
            <w:shd w:fill="EDF0F7" w:color="auto" w:val="clear"/>
            <w:tcMar>
              <w:top w:type="dxa" w:w="75"/>
              <w:left w:type="dxa" w:w="125"/>
              <w:bottom w:type="dxa" w:w="75"/>
              <w:right w:type="dxa" w:w="125"/>
            </w:tcMar>
            <w:vAlign w:val="top"/>
          </w:tcPr>
          <w:p>
            <w:pPr>
              <w:spacing w:after="0" w:before="0" w:line="235"/>
              <w:jc w:val="right"/>
            </w:pPr>
            <w:r>
              <w:rPr>
                <w:rFonts w:ascii="Calibri" w:cs="Calibri" w:eastAsia="Calibri" w:hAnsi="Calibri"/>
                <w:b/>
                <w:bCs/>
                <w:i w:val="false"/>
                <w:iCs w:val="false"/>
                <w:caps/>
                <w:color w:val="162F6A"/>
                <w:spacing w:val="16"/>
                <w:sz w:val="16"/>
                <w:szCs w:val="16"/>
              </w:rPr>
              <w:t xml:space="preserve">Weight</w:t>
            </w:r>
          </w:p>
        </w:tc>
        <w:tc>
          <w:tcPr>
            <w:tcW w:type="dxa" w:w="2588"/>
            <w:tcBorders>
              <w:top w:val="single" w:color="C9CFDC" w:sz="2"/>
              <w:left w:val="none" w:color="FFFFFF" w:sz="0"/>
              <w:bottom w:val="single" w:color="C9CFDC" w:sz="2"/>
              <w:right w:val="none" w:color="FFFFFF" w:sz="0"/>
            </w:tcBorders>
            <w:shd w:fill="EDF0F7" w:color="auto" w:val="clear"/>
            <w:tcMar>
              <w:top w:type="dxa" w:w="75"/>
              <w:left w:type="dxa" w:w="125"/>
              <w:bottom w:type="dxa" w:w="75"/>
              <w:right w:type="dxa" w:w="125"/>
            </w:tcMar>
            <w:vAlign w:val="top"/>
          </w:tcPr>
          <w:p>
            <w:pPr>
              <w:spacing w:after="0" w:before="0" w:line="235"/>
            </w:pPr>
            <w:r>
              <w:rPr>
                <w:rFonts w:ascii="Calibri" w:cs="Calibri" w:eastAsia="Calibri" w:hAnsi="Calibri"/>
                <w:b/>
                <w:bCs/>
                <w:i w:val="false"/>
                <w:iCs w:val="false"/>
                <w:caps/>
                <w:color w:val="162F6A"/>
                <w:spacing w:val="16"/>
                <w:sz w:val="16"/>
                <w:szCs w:val="16"/>
              </w:rPr>
              <w:t xml:space="preserve">Colour</w:t>
            </w:r>
          </w:p>
        </w:tc>
      </w:tr>
      <w:tr>
        <w:tc>
          <w:tcPr>
            <w:tcW w:type="dxa" w:w="3500"/>
            <w:tcBorders>
              <w:top w:val="single" w:color="C9CFDC" w:sz="2"/>
              <w:left w:val="none" w:color="FFFFFF" w:sz="0"/>
              <w:bottom w:val="single" w:color="C9CFDC" w:sz="2"/>
              <w:right w:val="none" w:color="FFFFFF" w:sz="0"/>
            </w:tcBorders>
            <w:tcMar>
              <w:top w:type="dxa" w:w="75"/>
              <w:left w:type="dxa" w:w="125"/>
              <w:bottom w:type="dxa" w:w="75"/>
              <w:right w:type="dxa" w:w="125"/>
            </w:tcMar>
            <w:vAlign w:val="top"/>
          </w:tcPr>
          <w:p>
            <w:pPr>
              <w:spacing w:after="0" w:before="0" w:line="248"/>
            </w:pPr>
            <w:r>
              <w:rPr>
                <w:rFonts w:ascii="Calibri" w:cs="Calibri" w:eastAsia="Calibri" w:hAnsi="Calibri"/>
                <w:b w:val="false"/>
                <w:bCs w:val="false"/>
                <w:i w:val="false"/>
                <w:iCs w:val="false"/>
                <w:caps w:val="false"/>
                <w:color w:val="333A48"/>
                <w:sz w:val="19"/>
                <w:szCs w:val="19"/>
              </w:rPr>
              <w:t xml:space="preserve">“Our Offerings” — home page</w:t>
            </w:r>
          </w:p>
        </w:tc>
        <w:tc>
          <w:tcPr>
            <w:tcW w:type="dxa" w:w="1250"/>
            <w:tcBorders>
              <w:top w:val="single" w:color="C9CFDC" w:sz="2"/>
              <w:left w:val="none" w:color="FFFFFF" w:sz="0"/>
              <w:bottom w:val="single" w:color="C9CFDC" w:sz="2"/>
              <w:right w:val="none" w:color="FFFFFF" w:sz="0"/>
            </w:tcBorders>
            <w:tcMar>
              <w:top w:type="dxa" w:w="75"/>
              <w:left w:type="dxa" w:w="125"/>
              <w:bottom w:type="dxa" w:w="75"/>
              <w:right w:type="dxa" w:w="125"/>
            </w:tcMar>
            <w:vAlign w:val="top"/>
          </w:tcPr>
          <w:p>
            <w:pPr>
              <w:spacing w:after="0" w:before="0" w:line="248"/>
              <w:jc w:val="center"/>
            </w:pPr>
            <w:r>
              <w:rPr>
                <w:rFonts w:ascii="Consolas" w:cs="Consolas" w:eastAsia="Consolas" w:hAnsi="Consolas"/>
                <w:b/>
                <w:bCs/>
                <w:i w:val="false"/>
                <w:iCs w:val="false"/>
                <w:caps w:val="false"/>
                <w:color w:val="333A48"/>
                <w:sz w:val="21"/>
                <w:szCs w:val="21"/>
              </w:rPr>
              <w:t xml:space="preserve">H3</w:t>
            </w:r>
          </w:p>
        </w:tc>
        <w:tc>
          <w:tcPr>
            <w:tcW w:type="dxa" w:w="1150"/>
            <w:tcBorders>
              <w:top w:val="single" w:color="C9CFDC" w:sz="2"/>
              <w:left w:val="none" w:color="FFFFFF" w:sz="0"/>
              <w:bottom w:val="single" w:color="C9CFDC" w:sz="2"/>
              <w:right w:val="none" w:color="FFFFFF" w:sz="0"/>
            </w:tcBorders>
            <w:tcMar>
              <w:top w:type="dxa" w:w="75"/>
              <w:left w:type="dxa" w:w="125"/>
              <w:bottom w:type="dxa" w:w="75"/>
              <w:right w:type="dxa" w:w="125"/>
            </w:tcMar>
            <w:vAlign w:val="top"/>
          </w:tcPr>
          <w:p>
            <w:pPr>
              <w:spacing w:after="0" w:before="0" w:line="248"/>
              <w:jc w:val="right"/>
            </w:pPr>
            <w:r>
              <w:rPr>
                <w:rFonts w:ascii="Consolas" w:cs="Consolas" w:eastAsia="Consolas" w:hAnsi="Consolas"/>
                <w:b w:val="false"/>
                <w:bCs w:val="false"/>
                <w:i w:val="false"/>
                <w:iCs w:val="false"/>
                <w:caps w:val="false"/>
                <w:color w:val="333A48"/>
                <w:sz w:val="21"/>
                <w:szCs w:val="21"/>
              </w:rPr>
              <w:t xml:space="preserve">20px</w:t>
            </w:r>
          </w:p>
        </w:tc>
        <w:tc>
          <w:tcPr>
            <w:tcW w:type="dxa" w:w="1150"/>
            <w:tcBorders>
              <w:top w:val="single" w:color="C9CFDC" w:sz="2"/>
              <w:left w:val="none" w:color="FFFFFF" w:sz="0"/>
              <w:bottom w:val="single" w:color="C9CFDC" w:sz="2"/>
              <w:right w:val="none" w:color="FFFFFF" w:sz="0"/>
            </w:tcBorders>
            <w:tcMar>
              <w:top w:type="dxa" w:w="75"/>
              <w:left w:type="dxa" w:w="125"/>
              <w:bottom w:type="dxa" w:w="75"/>
              <w:right w:type="dxa" w:w="125"/>
            </w:tcMar>
            <w:vAlign w:val="top"/>
          </w:tcPr>
          <w:p>
            <w:pPr>
              <w:spacing w:after="0" w:before="0" w:line="248"/>
              <w:jc w:val="right"/>
            </w:pPr>
            <w:r>
              <w:rPr>
                <w:rFonts w:ascii="Consolas" w:cs="Consolas" w:eastAsia="Consolas" w:hAnsi="Consolas"/>
                <w:b/>
                <w:bCs/>
                <w:i w:val="false"/>
                <w:iCs w:val="false"/>
                <w:caps w:val="false"/>
                <w:color w:val="8C2B2B"/>
                <w:sz w:val="21"/>
                <w:szCs w:val="21"/>
              </w:rPr>
              <w:t xml:space="preserve">600</w:t>
            </w:r>
          </w:p>
        </w:tc>
        <w:tc>
          <w:tcPr>
            <w:tcW w:type="dxa" w:w="2588"/>
            <w:tcBorders>
              <w:top w:val="single" w:color="C9CFDC" w:sz="2"/>
              <w:left w:val="none" w:color="FFFFFF" w:sz="0"/>
              <w:bottom w:val="single" w:color="C9CFDC" w:sz="2"/>
              <w:right w:val="none" w:color="FFFFFF" w:sz="0"/>
            </w:tcBorders>
            <w:tcMar>
              <w:top w:type="dxa" w:w="75"/>
              <w:left w:type="dxa" w:w="125"/>
              <w:bottom w:type="dxa" w:w="75"/>
              <w:right w:type="dxa" w:w="125"/>
            </w:tcMar>
            <w:vAlign w:val="top"/>
          </w:tcPr>
          <w:p>
            <w:pPr>
              <w:spacing w:after="0" w:before="0" w:line="248"/>
            </w:pPr>
            <w:r>
              <w:rPr>
                <w:rFonts w:ascii="Consolas" w:cs="Consolas" w:eastAsia="Consolas" w:hAnsi="Consolas"/>
                <w:b w:val="false"/>
                <w:bCs w:val="false"/>
                <w:i w:val="false"/>
                <w:iCs w:val="false"/>
                <w:caps w:val="false"/>
                <w:color w:val="8C2B2B"/>
                <w:sz w:val="21"/>
                <w:szCs w:val="21"/>
              </w:rPr>
              <w:t xml:space="preserve">#014B92</w:t>
            </w:r>
          </w:p>
        </w:tc>
      </w:tr>
      <w:tr>
        <w:tc>
          <w:tcPr>
            <w:tcW w:type="dxa" w:w="3500"/>
            <w:tcBorders>
              <w:top w:val="single" w:color="C9CFDC" w:sz="2"/>
              <w:left w:val="none" w:color="FFFFFF" w:sz="0"/>
              <w:bottom w:val="single" w:color="C9CFDC" w:sz="2"/>
              <w:right w:val="none" w:color="FFFFFF" w:sz="0"/>
            </w:tcBorders>
            <w:shd w:fill="F7F8FC" w:color="auto" w:val="clear"/>
            <w:tcMar>
              <w:top w:type="dxa" w:w="75"/>
              <w:left w:type="dxa" w:w="125"/>
              <w:bottom w:type="dxa" w:w="75"/>
              <w:right w:type="dxa" w:w="125"/>
            </w:tcMar>
            <w:vAlign w:val="top"/>
          </w:tcPr>
          <w:p>
            <w:pPr>
              <w:spacing w:after="0" w:before="0" w:line="248"/>
            </w:pPr>
            <w:r>
              <w:rPr>
                <w:rFonts w:ascii="Calibri" w:cs="Calibri" w:eastAsia="Calibri" w:hAnsi="Calibri"/>
                <w:b w:val="false"/>
                <w:bCs w:val="false"/>
                <w:i w:val="false"/>
                <w:iCs w:val="false"/>
                <w:caps w:val="false"/>
                <w:color w:val="333A48"/>
                <w:sz w:val="19"/>
                <w:szCs w:val="19"/>
              </w:rPr>
              <w:t xml:space="preserve">“Explore our Social Media Platforms” — home page</w:t>
            </w:r>
          </w:p>
        </w:tc>
        <w:tc>
          <w:tcPr>
            <w:tcW w:type="dxa" w:w="1250"/>
            <w:tcBorders>
              <w:top w:val="single" w:color="C9CFDC" w:sz="2"/>
              <w:left w:val="none" w:color="FFFFFF" w:sz="0"/>
              <w:bottom w:val="single" w:color="C9CFDC" w:sz="2"/>
              <w:right w:val="none" w:color="FFFFFF" w:sz="0"/>
            </w:tcBorders>
            <w:shd w:fill="F7F8FC" w:color="auto" w:val="clear"/>
            <w:tcMar>
              <w:top w:type="dxa" w:w="75"/>
              <w:left w:type="dxa" w:w="125"/>
              <w:bottom w:type="dxa" w:w="75"/>
              <w:right w:type="dxa" w:w="125"/>
            </w:tcMar>
            <w:vAlign w:val="top"/>
          </w:tcPr>
          <w:p>
            <w:pPr>
              <w:spacing w:after="0" w:before="0" w:line="248"/>
              <w:jc w:val="center"/>
            </w:pPr>
            <w:r>
              <w:rPr>
                <w:rFonts w:ascii="Consolas" w:cs="Consolas" w:eastAsia="Consolas" w:hAnsi="Consolas"/>
                <w:b/>
                <w:bCs/>
                <w:i w:val="false"/>
                <w:iCs w:val="false"/>
                <w:caps w:val="false"/>
                <w:color w:val="333A48"/>
                <w:sz w:val="21"/>
                <w:szCs w:val="21"/>
              </w:rPr>
              <w:t xml:space="preserve">H2</w:t>
            </w:r>
          </w:p>
        </w:tc>
        <w:tc>
          <w:tcPr>
            <w:tcW w:type="dxa" w:w="1150"/>
            <w:tcBorders>
              <w:top w:val="single" w:color="C9CFDC" w:sz="2"/>
              <w:left w:val="none" w:color="FFFFFF" w:sz="0"/>
              <w:bottom w:val="single" w:color="C9CFDC" w:sz="2"/>
              <w:right w:val="none" w:color="FFFFFF" w:sz="0"/>
            </w:tcBorders>
            <w:shd w:fill="F7F8FC" w:color="auto" w:val="clear"/>
            <w:tcMar>
              <w:top w:type="dxa" w:w="75"/>
              <w:left w:type="dxa" w:w="125"/>
              <w:bottom w:type="dxa" w:w="75"/>
              <w:right w:type="dxa" w:w="125"/>
            </w:tcMar>
            <w:vAlign w:val="top"/>
          </w:tcPr>
          <w:p>
            <w:pPr>
              <w:spacing w:after="0" w:before="0" w:line="248"/>
              <w:jc w:val="right"/>
            </w:pPr>
            <w:r>
              <w:rPr>
                <w:rFonts w:ascii="Consolas" w:cs="Consolas" w:eastAsia="Consolas" w:hAnsi="Consolas"/>
                <w:b w:val="false"/>
                <w:bCs w:val="false"/>
                <w:i w:val="false"/>
                <w:iCs w:val="false"/>
                <w:caps w:val="false"/>
                <w:color w:val="333A48"/>
                <w:sz w:val="21"/>
                <w:szCs w:val="21"/>
              </w:rPr>
              <w:t xml:space="preserve">20px</w:t>
            </w:r>
          </w:p>
        </w:tc>
        <w:tc>
          <w:tcPr>
            <w:tcW w:type="dxa" w:w="1150"/>
            <w:tcBorders>
              <w:top w:val="single" w:color="C9CFDC" w:sz="2"/>
              <w:left w:val="none" w:color="FFFFFF" w:sz="0"/>
              <w:bottom w:val="single" w:color="C9CFDC" w:sz="2"/>
              <w:right w:val="none" w:color="FFFFFF" w:sz="0"/>
            </w:tcBorders>
            <w:shd w:fill="F7F8FC" w:color="auto" w:val="clear"/>
            <w:tcMar>
              <w:top w:type="dxa" w:w="75"/>
              <w:left w:type="dxa" w:w="125"/>
              <w:bottom w:type="dxa" w:w="75"/>
              <w:right w:type="dxa" w:w="125"/>
            </w:tcMar>
            <w:vAlign w:val="top"/>
          </w:tcPr>
          <w:p>
            <w:pPr>
              <w:spacing w:after="0" w:before="0" w:line="248"/>
              <w:jc w:val="right"/>
            </w:pPr>
            <w:r>
              <w:rPr>
                <w:rFonts w:ascii="Consolas" w:cs="Consolas" w:eastAsia="Consolas" w:hAnsi="Consolas"/>
                <w:b/>
                <w:bCs/>
                <w:i w:val="false"/>
                <w:iCs w:val="false"/>
                <w:caps w:val="false"/>
                <w:color w:val="8C2B2B"/>
                <w:sz w:val="21"/>
                <w:szCs w:val="21"/>
              </w:rPr>
              <w:t xml:space="preserve">600</w:t>
            </w:r>
          </w:p>
        </w:tc>
        <w:tc>
          <w:tcPr>
            <w:tcW w:type="dxa" w:w="2588"/>
            <w:tcBorders>
              <w:top w:val="single" w:color="C9CFDC" w:sz="2"/>
              <w:left w:val="none" w:color="FFFFFF" w:sz="0"/>
              <w:bottom w:val="single" w:color="C9CFDC" w:sz="2"/>
              <w:right w:val="none" w:color="FFFFFF" w:sz="0"/>
            </w:tcBorders>
            <w:shd w:fill="F7F8FC" w:color="auto" w:val="clear"/>
            <w:tcMar>
              <w:top w:type="dxa" w:w="75"/>
              <w:left w:type="dxa" w:w="125"/>
              <w:bottom w:type="dxa" w:w="75"/>
              <w:right w:type="dxa" w:w="125"/>
            </w:tcMar>
            <w:vAlign w:val="top"/>
          </w:tcPr>
          <w:p>
            <w:pPr>
              <w:spacing w:after="0" w:before="0" w:line="248"/>
            </w:pPr>
            <w:r>
              <w:rPr>
                <w:rFonts w:ascii="Consolas" w:cs="Consolas" w:eastAsia="Consolas" w:hAnsi="Consolas"/>
                <w:b w:val="false"/>
                <w:bCs w:val="false"/>
                <w:i w:val="false"/>
                <w:iCs w:val="false"/>
                <w:caps w:val="false"/>
                <w:color w:val="8C2B2B"/>
                <w:sz w:val="21"/>
                <w:szCs w:val="21"/>
              </w:rPr>
              <w:t xml:space="preserve">#014B92</w:t>
            </w:r>
          </w:p>
        </w:tc>
      </w:tr>
      <w:tr>
        <w:tc>
          <w:tcPr>
            <w:tcW w:type="dxa" w:w="3500"/>
            <w:tcBorders>
              <w:top w:val="single" w:color="C9CFDC" w:sz="2"/>
              <w:left w:val="none" w:color="FFFFFF" w:sz="0"/>
              <w:bottom w:val="single" w:color="C9CFDC" w:sz="2"/>
              <w:right w:val="none" w:color="FFFFFF" w:sz="0"/>
            </w:tcBorders>
            <w:tcMar>
              <w:top w:type="dxa" w:w="75"/>
              <w:left w:type="dxa" w:w="125"/>
              <w:bottom w:type="dxa" w:w="75"/>
              <w:right w:type="dxa" w:w="125"/>
            </w:tcMar>
            <w:vAlign w:val="top"/>
          </w:tcPr>
          <w:p>
            <w:pPr>
              <w:spacing w:after="0" w:before="0" w:line="248"/>
            </w:pPr>
            <w:r>
              <w:rPr>
                <w:rFonts w:ascii="Calibri" w:cs="Calibri" w:eastAsia="Calibri" w:hAnsi="Calibri"/>
                <w:b w:val="false"/>
                <w:bCs w:val="false"/>
                <w:i w:val="false"/>
                <w:iCs w:val="false"/>
                <w:caps w:val="false"/>
                <w:color w:val="333A48"/>
                <w:sz w:val="19"/>
                <w:szCs w:val="19"/>
              </w:rPr>
              <w:t xml:space="preserve">“About us”, “Contact” and eight more — DAF page</w:t>
            </w:r>
          </w:p>
        </w:tc>
        <w:tc>
          <w:tcPr>
            <w:tcW w:type="dxa" w:w="1250"/>
            <w:tcBorders>
              <w:top w:val="single" w:color="C9CFDC" w:sz="2"/>
              <w:left w:val="none" w:color="FFFFFF" w:sz="0"/>
              <w:bottom w:val="single" w:color="C9CFDC" w:sz="2"/>
              <w:right w:val="none" w:color="FFFFFF" w:sz="0"/>
            </w:tcBorders>
            <w:tcMar>
              <w:top w:type="dxa" w:w="75"/>
              <w:left w:type="dxa" w:w="125"/>
              <w:bottom w:type="dxa" w:w="75"/>
              <w:right w:type="dxa" w:w="125"/>
            </w:tcMar>
            <w:vAlign w:val="top"/>
          </w:tcPr>
          <w:p>
            <w:pPr>
              <w:spacing w:after="0" w:before="0" w:line="248"/>
              <w:jc w:val="center"/>
            </w:pPr>
            <w:r>
              <w:rPr>
                <w:rFonts w:ascii="Consolas" w:cs="Consolas" w:eastAsia="Consolas" w:hAnsi="Consolas"/>
                <w:b/>
                <w:bCs/>
                <w:i w:val="false"/>
                <w:iCs w:val="false"/>
                <w:caps w:val="false"/>
                <w:color w:val="333A48"/>
                <w:sz w:val="21"/>
                <w:szCs w:val="21"/>
              </w:rPr>
              <w:t xml:space="preserve">H3</w:t>
            </w:r>
          </w:p>
        </w:tc>
        <w:tc>
          <w:tcPr>
            <w:tcW w:type="dxa" w:w="1150"/>
            <w:tcBorders>
              <w:top w:val="single" w:color="C9CFDC" w:sz="2"/>
              <w:left w:val="none" w:color="FFFFFF" w:sz="0"/>
              <w:bottom w:val="single" w:color="C9CFDC" w:sz="2"/>
              <w:right w:val="none" w:color="FFFFFF" w:sz="0"/>
            </w:tcBorders>
            <w:tcMar>
              <w:top w:type="dxa" w:w="75"/>
              <w:left w:type="dxa" w:w="125"/>
              <w:bottom w:type="dxa" w:w="75"/>
              <w:right w:type="dxa" w:w="125"/>
            </w:tcMar>
            <w:vAlign w:val="top"/>
          </w:tcPr>
          <w:p>
            <w:pPr>
              <w:spacing w:after="0" w:before="0" w:line="248"/>
              <w:jc w:val="right"/>
            </w:pPr>
            <w:r>
              <w:rPr>
                <w:rFonts w:ascii="Consolas" w:cs="Consolas" w:eastAsia="Consolas" w:hAnsi="Consolas"/>
                <w:b w:val="false"/>
                <w:bCs w:val="false"/>
                <w:i w:val="false"/>
                <w:iCs w:val="false"/>
                <w:caps w:val="false"/>
                <w:color w:val="333A48"/>
                <w:sz w:val="21"/>
                <w:szCs w:val="21"/>
              </w:rPr>
              <w:t xml:space="preserve">20px</w:t>
            </w:r>
          </w:p>
        </w:tc>
        <w:tc>
          <w:tcPr>
            <w:tcW w:type="dxa" w:w="1150"/>
            <w:tcBorders>
              <w:top w:val="single" w:color="C9CFDC" w:sz="2"/>
              <w:left w:val="none" w:color="FFFFFF" w:sz="0"/>
              <w:bottom w:val="single" w:color="C9CFDC" w:sz="2"/>
              <w:right w:val="none" w:color="FFFFFF" w:sz="0"/>
            </w:tcBorders>
            <w:tcMar>
              <w:top w:type="dxa" w:w="75"/>
              <w:left w:type="dxa" w:w="125"/>
              <w:bottom w:type="dxa" w:w="75"/>
              <w:right w:type="dxa" w:w="125"/>
            </w:tcMar>
            <w:vAlign w:val="top"/>
          </w:tcPr>
          <w:p>
            <w:pPr>
              <w:spacing w:after="0" w:before="0" w:line="248"/>
              <w:jc w:val="right"/>
            </w:pPr>
            <w:r>
              <w:rPr>
                <w:rFonts w:ascii="Consolas" w:cs="Consolas" w:eastAsia="Consolas" w:hAnsi="Consolas"/>
                <w:b/>
                <w:bCs/>
                <w:i w:val="false"/>
                <w:iCs w:val="false"/>
                <w:caps w:val="false"/>
                <w:color w:val="8C2B2B"/>
                <w:sz w:val="21"/>
                <w:szCs w:val="21"/>
              </w:rPr>
              <w:t xml:space="preserve">500</w:t>
            </w:r>
          </w:p>
        </w:tc>
        <w:tc>
          <w:tcPr>
            <w:tcW w:type="dxa" w:w="2588"/>
            <w:tcBorders>
              <w:top w:val="single" w:color="C9CFDC" w:sz="2"/>
              <w:left w:val="none" w:color="FFFFFF" w:sz="0"/>
              <w:bottom w:val="single" w:color="C9CFDC" w:sz="2"/>
              <w:right w:val="none" w:color="FFFFFF" w:sz="0"/>
            </w:tcBorders>
            <w:tcMar>
              <w:top w:type="dxa" w:w="75"/>
              <w:left w:type="dxa" w:w="125"/>
              <w:bottom w:type="dxa" w:w="75"/>
              <w:right w:type="dxa" w:w="125"/>
            </w:tcMar>
            <w:vAlign w:val="top"/>
          </w:tcPr>
          <w:p>
            <w:pPr>
              <w:spacing w:after="0" w:before="0" w:line="248"/>
            </w:pPr>
            <w:r>
              <w:rPr>
                <w:rFonts w:ascii="Consolas" w:cs="Consolas" w:eastAsia="Consolas" w:hAnsi="Consolas"/>
                <w:b w:val="false"/>
                <w:bCs w:val="false"/>
                <w:i w:val="false"/>
                <w:iCs w:val="false"/>
                <w:caps w:val="false"/>
                <w:color w:val="8C2B2B"/>
                <w:sz w:val="21"/>
                <w:szCs w:val="21"/>
              </w:rPr>
              <w:t xml:space="preserve">#014B92</w:t>
            </w:r>
          </w:p>
        </w:tc>
      </w:tr>
      <w:tr>
        <w:tc>
          <w:tcPr>
            <w:tcW w:type="dxa" w:w="3500"/>
            <w:tcBorders>
              <w:top w:val="single" w:color="C9CFDC" w:sz="2"/>
              <w:left w:val="none" w:color="FFFFFF" w:sz="0"/>
              <w:bottom w:val="single" w:color="C9CFDC" w:sz="2"/>
              <w:right w:val="none" w:color="FFFFFF" w:sz="0"/>
            </w:tcBorders>
            <w:shd w:fill="F7F8FC" w:color="auto" w:val="clear"/>
            <w:tcMar>
              <w:top w:type="dxa" w:w="75"/>
              <w:left w:type="dxa" w:w="125"/>
              <w:bottom w:type="dxa" w:w="75"/>
              <w:right w:type="dxa" w:w="125"/>
            </w:tcMar>
            <w:vAlign w:val="top"/>
          </w:tcPr>
          <w:p>
            <w:pPr>
              <w:spacing w:after="0" w:before="0" w:line="248"/>
            </w:pPr>
            <w:r>
              <w:rPr>
                <w:rFonts w:ascii="Calibri" w:cs="Calibri" w:eastAsia="Calibri" w:hAnsi="Calibri"/>
                <w:b w:val="false"/>
                <w:bCs w:val="false"/>
                <w:i w:val="false"/>
                <w:iCs w:val="false"/>
                <w:caps w:val="false"/>
                <w:color w:val="333A48"/>
                <w:sz w:val="19"/>
                <w:szCs w:val="19"/>
              </w:rPr>
              <w:t xml:space="preserve">“Union Cabinet Minister…” and 21 more — Directory</w:t>
            </w:r>
          </w:p>
        </w:tc>
        <w:tc>
          <w:tcPr>
            <w:tcW w:type="dxa" w:w="1250"/>
            <w:tcBorders>
              <w:top w:val="single" w:color="C9CFDC" w:sz="2"/>
              <w:left w:val="none" w:color="FFFFFF" w:sz="0"/>
              <w:bottom w:val="single" w:color="C9CFDC" w:sz="2"/>
              <w:right w:val="none" w:color="FFFFFF" w:sz="0"/>
            </w:tcBorders>
            <w:shd w:fill="F7F8FC" w:color="auto" w:val="clear"/>
            <w:tcMar>
              <w:top w:type="dxa" w:w="75"/>
              <w:left w:type="dxa" w:w="125"/>
              <w:bottom w:type="dxa" w:w="75"/>
              <w:right w:type="dxa" w:w="125"/>
            </w:tcMar>
            <w:vAlign w:val="top"/>
          </w:tcPr>
          <w:p>
            <w:pPr>
              <w:spacing w:after="0" w:before="0" w:line="248"/>
              <w:jc w:val="center"/>
            </w:pPr>
            <w:r>
              <w:rPr>
                <w:rFonts w:ascii="Consolas" w:cs="Consolas" w:eastAsia="Consolas" w:hAnsi="Consolas"/>
                <w:b/>
                <w:bCs/>
                <w:i w:val="false"/>
                <w:iCs w:val="false"/>
                <w:caps w:val="false"/>
                <w:color w:val="333A48"/>
                <w:sz w:val="21"/>
                <w:szCs w:val="21"/>
              </w:rPr>
              <w:t xml:space="preserve">H4</w:t>
            </w:r>
          </w:p>
        </w:tc>
        <w:tc>
          <w:tcPr>
            <w:tcW w:type="dxa" w:w="1150"/>
            <w:tcBorders>
              <w:top w:val="single" w:color="C9CFDC" w:sz="2"/>
              <w:left w:val="none" w:color="FFFFFF" w:sz="0"/>
              <w:bottom w:val="single" w:color="C9CFDC" w:sz="2"/>
              <w:right w:val="none" w:color="FFFFFF" w:sz="0"/>
            </w:tcBorders>
            <w:shd w:fill="F7F8FC" w:color="auto" w:val="clear"/>
            <w:tcMar>
              <w:top w:type="dxa" w:w="75"/>
              <w:left w:type="dxa" w:w="125"/>
              <w:bottom w:type="dxa" w:w="75"/>
              <w:right w:type="dxa" w:w="125"/>
            </w:tcMar>
            <w:vAlign w:val="top"/>
          </w:tcPr>
          <w:p>
            <w:pPr>
              <w:spacing w:after="0" w:before="0" w:line="248"/>
              <w:jc w:val="right"/>
            </w:pPr>
            <w:r>
              <w:rPr>
                <w:rFonts w:ascii="Consolas" w:cs="Consolas" w:eastAsia="Consolas" w:hAnsi="Consolas"/>
                <w:b w:val="false"/>
                <w:bCs w:val="false"/>
                <w:i w:val="false"/>
                <w:iCs w:val="false"/>
                <w:caps w:val="false"/>
                <w:color w:val="333A48"/>
                <w:sz w:val="21"/>
                <w:szCs w:val="21"/>
              </w:rPr>
              <w:t xml:space="preserve">20px</w:t>
            </w:r>
          </w:p>
        </w:tc>
        <w:tc>
          <w:tcPr>
            <w:tcW w:type="dxa" w:w="1150"/>
            <w:tcBorders>
              <w:top w:val="single" w:color="C9CFDC" w:sz="2"/>
              <w:left w:val="none" w:color="FFFFFF" w:sz="0"/>
              <w:bottom w:val="single" w:color="C9CFDC" w:sz="2"/>
              <w:right w:val="none" w:color="FFFFFF" w:sz="0"/>
            </w:tcBorders>
            <w:shd w:fill="F7F8FC" w:color="auto" w:val="clear"/>
            <w:tcMar>
              <w:top w:type="dxa" w:w="75"/>
              <w:left w:type="dxa" w:w="125"/>
              <w:bottom w:type="dxa" w:w="75"/>
              <w:right w:type="dxa" w:w="125"/>
            </w:tcMar>
            <w:vAlign w:val="top"/>
          </w:tcPr>
          <w:p>
            <w:pPr>
              <w:spacing w:after="0" w:before="0" w:line="248"/>
              <w:jc w:val="right"/>
            </w:pPr>
            <w:r>
              <w:rPr>
                <w:rFonts w:ascii="Consolas" w:cs="Consolas" w:eastAsia="Consolas" w:hAnsi="Consolas"/>
                <w:b/>
                <w:bCs/>
                <w:i w:val="false"/>
                <w:iCs w:val="false"/>
                <w:caps w:val="false"/>
                <w:color w:val="8C2B2B"/>
                <w:sz w:val="21"/>
                <w:szCs w:val="21"/>
              </w:rPr>
              <w:t xml:space="preserve">600</w:t>
            </w:r>
          </w:p>
        </w:tc>
        <w:tc>
          <w:tcPr>
            <w:tcW w:type="dxa" w:w="2588"/>
            <w:tcBorders>
              <w:top w:val="single" w:color="C9CFDC" w:sz="2"/>
              <w:left w:val="none" w:color="FFFFFF" w:sz="0"/>
              <w:bottom w:val="single" w:color="C9CFDC" w:sz="2"/>
              <w:right w:val="none" w:color="FFFFFF" w:sz="0"/>
            </w:tcBorders>
            <w:shd w:fill="F7F8FC" w:color="auto" w:val="clear"/>
            <w:tcMar>
              <w:top w:type="dxa" w:w="75"/>
              <w:left w:type="dxa" w:w="125"/>
              <w:bottom w:type="dxa" w:w="75"/>
              <w:right w:type="dxa" w:w="125"/>
            </w:tcMar>
            <w:vAlign w:val="top"/>
          </w:tcPr>
          <w:p>
            <w:pPr>
              <w:spacing w:after="0" w:before="0" w:line="248"/>
            </w:pPr>
            <w:r>
              <w:rPr>
                <w:rFonts w:ascii="Consolas" w:cs="Consolas" w:eastAsia="Consolas" w:hAnsi="Consolas"/>
                <w:b w:val="false"/>
                <w:bCs w:val="false"/>
                <w:i w:val="false"/>
                <w:iCs w:val="false"/>
                <w:caps w:val="false"/>
                <w:color w:val="8C2B2B"/>
                <w:sz w:val="21"/>
                <w:szCs w:val="21"/>
              </w:rPr>
              <w:t xml:space="preserve">#0373DF</w:t>
            </w:r>
          </w:p>
        </w:tc>
      </w:tr>
    </w:tbl>
    <w:p>
      <w:pPr>
        <w:spacing w:after="140" w:before="0" w:line="276"/>
      </w:pPr>
      <w:r>
        <w:rPr>
          <w:rFonts w:ascii="Calibri" w:cs="Calibri" w:eastAsia="Calibri" w:hAnsi="Calibri"/>
          <w:b w:val="false"/>
          <w:bCs w:val="false"/>
          <w:i w:val="false"/>
          <w:iCs w:val="false"/>
          <w:caps w:val="false"/>
          <w:color w:val="333A48"/>
          <w:sz w:val="21"/>
          <w:szCs w:val="21"/>
        </w:rPr>
        <w:t xml:space="preserve">Two weights and two blues for a single role. Page titles differ as well: the organisation page prints its title at 28px, the Directory at 22px.</w:t>
      </w:r>
    </w:p>
    <w:p>
      <w:pPr>
        <w:keepNext/>
        <w:spacing w:after="80" w:before="230" w:line="276"/>
      </w:pPr>
      <w:r>
        <w:rPr>
          <w:rFonts w:ascii="Consolas" w:cs="Consolas" w:eastAsia="Consolas" w:hAnsi="Consolas"/>
          <w:b/>
          <w:bCs/>
          <w:i w:val="false"/>
          <w:iCs w:val="false"/>
          <w:caps w:val="false"/>
          <w:color w:val="8C2B2B"/>
          <w:sz w:val="16"/>
          <w:szCs w:val="16"/>
        </w:rPr>
        <w:t xml:space="preserve">2.2  </w:t>
      </w:r>
      <w:r>
        <w:rPr>
          <w:rFonts w:ascii="Georgia" w:cs="Georgia" w:eastAsia="Georgia" w:hAnsi="Georgia"/>
          <w:b/>
          <w:bCs/>
          <w:i w:val="false"/>
          <w:iCs w:val="false"/>
          <w:caps w:val="false"/>
          <w:color w:val="1B2130"/>
          <w:sz w:val="21"/>
          <w:szCs w:val="21"/>
        </w:rPr>
        <w:t xml:space="preserve">Heading Level No Longer Follows Heading Size</w:t>
      </w:r>
    </w:p>
    <w:p>
      <w:pPr>
        <w:spacing w:after="140" w:before="0" w:line="276"/>
      </w:pPr>
      <w:r>
        <w:rPr>
          <w:rFonts w:ascii="Calibri" w:cs="Calibri" w:eastAsia="Calibri" w:hAnsi="Calibri"/>
          <w:b w:val="false"/>
          <w:bCs w:val="false"/>
          <w:i w:val="false"/>
          <w:iCs w:val="false"/>
          <w:caps w:val="false"/>
          <w:color w:val="333A48"/>
          <w:sz w:val="21"/>
          <w:szCs w:val="21"/>
        </w:rPr>
        <w:t xml:space="preserve">On the home page an H2 and an H3 render identically, at 20px and the same weight. On the Directory the page title is an H1 at 22px while the headings beneath it are H4 at 20px — two pixels apart, four levels of structure between them. Screen readers and search engines read the level; a sighted visitor reads the size; the two now tell different stories, which is both a visual problem and an accessibility one.</w:t>
      </w:r>
    </w:p>
    <w:p>
      <w:pPr>
        <w:keepNext/>
        <w:spacing w:after="80" w:before="230" w:line="276"/>
      </w:pPr>
      <w:r>
        <w:rPr>
          <w:rFonts w:ascii="Consolas" w:cs="Consolas" w:eastAsia="Consolas" w:hAnsi="Consolas"/>
          <w:b/>
          <w:bCs/>
          <w:i w:val="false"/>
          <w:iCs w:val="false"/>
          <w:caps w:val="false"/>
          <w:color w:val="8C2B2B"/>
          <w:sz w:val="16"/>
          <w:szCs w:val="16"/>
        </w:rPr>
        <w:t xml:space="preserve">2.3  </w:t>
      </w:r>
      <w:r>
        <w:rPr>
          <w:rFonts w:ascii="Georgia" w:cs="Georgia" w:eastAsia="Georgia" w:hAnsi="Georgia"/>
          <w:b/>
          <w:bCs/>
          <w:i w:val="false"/>
          <w:iCs w:val="false"/>
          <w:caps w:val="false"/>
          <w:color w:val="1B2130"/>
          <w:sz w:val="21"/>
          <w:szCs w:val="21"/>
        </w:rPr>
        <w:t xml:space="preserve">Three Capitalisation Rules for Headings</w:t>
      </w:r>
    </w:p>
    <w:p>
      <w:pPr>
        <w:spacing w:after="140" w:before="0" w:line="276"/>
      </w:pPr>
      <w:r>
        <w:rPr>
          <w:rFonts w:ascii="Calibri" w:cs="Calibri" w:eastAsia="Calibri" w:hAnsi="Calibri"/>
          <w:b w:val="false"/>
          <w:bCs w:val="false"/>
          <w:i w:val="false"/>
          <w:iCs w:val="false"/>
          <w:caps w:val="false"/>
          <w:color w:val="333A48"/>
          <w:sz w:val="21"/>
          <w:szCs w:val="21"/>
        </w:rPr>
        <w:t xml:space="preserve">Ninety-four headings were read across eighteen pages.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1100"/>
        <w:gridCol w:w="5638"/>
      </w:tblGrid>
      <w:tr>
        <w:trPr>
          <w:tblHeader/>
        </w:trPr>
        <w:tc>
          <w:tcPr>
            <w:tcW w:type="dxa" w:w="2900"/>
            <w:tcBorders>
              <w:top w:val="single" w:color="C9CFDC" w:sz="2"/>
              <w:left w:val="none" w:color="FFFFFF" w:sz="0"/>
              <w:bottom w:val="single" w:color="C9CFDC" w:sz="2"/>
              <w:right w:val="none" w:color="FFFFFF" w:sz="0"/>
            </w:tcBorders>
            <w:shd w:fill="EDF0F7" w:color="auto" w:val="clear"/>
            <w:tcMar>
              <w:top w:type="dxa" w:w="75"/>
              <w:left w:type="dxa" w:w="125"/>
              <w:bottom w:type="dxa" w:w="75"/>
              <w:right w:type="dxa" w:w="125"/>
            </w:tcMar>
            <w:vAlign w:val="top"/>
          </w:tcPr>
          <w:p>
            <w:pPr>
              <w:spacing w:after="0" w:before="0" w:line="235"/>
            </w:pPr>
            <w:r>
              <w:rPr>
                <w:rFonts w:ascii="Calibri" w:cs="Calibri" w:eastAsia="Calibri" w:hAnsi="Calibri"/>
                <w:b/>
                <w:bCs/>
                <w:i w:val="false"/>
                <w:iCs w:val="false"/>
                <w:caps/>
                <w:color w:val="162F6A"/>
                <w:spacing w:val="16"/>
                <w:sz w:val="16"/>
                <w:szCs w:val="16"/>
              </w:rPr>
              <w:t xml:space="preserve">Style</w:t>
            </w:r>
          </w:p>
        </w:tc>
        <w:tc>
          <w:tcPr>
            <w:tcW w:type="dxa" w:w="1100"/>
            <w:tcBorders>
              <w:top w:val="single" w:color="C9CFDC" w:sz="2"/>
              <w:left w:val="none" w:color="FFFFFF" w:sz="0"/>
              <w:bottom w:val="single" w:color="C9CFDC" w:sz="2"/>
              <w:right w:val="none" w:color="FFFFFF" w:sz="0"/>
            </w:tcBorders>
            <w:shd w:fill="EDF0F7" w:color="auto" w:val="clear"/>
            <w:tcMar>
              <w:top w:type="dxa" w:w="75"/>
              <w:left w:type="dxa" w:w="125"/>
              <w:bottom w:type="dxa" w:w="75"/>
              <w:right w:type="dxa" w:w="125"/>
            </w:tcMar>
            <w:vAlign w:val="top"/>
          </w:tcPr>
          <w:p>
            <w:pPr>
              <w:spacing w:after="0" w:before="0" w:line="235"/>
              <w:jc w:val="right"/>
            </w:pPr>
            <w:r>
              <w:rPr>
                <w:rFonts w:ascii="Calibri" w:cs="Calibri" w:eastAsia="Calibri" w:hAnsi="Calibri"/>
                <w:b/>
                <w:bCs/>
                <w:i w:val="false"/>
                <w:iCs w:val="false"/>
                <w:caps/>
                <w:color w:val="162F6A"/>
                <w:spacing w:val="16"/>
                <w:sz w:val="16"/>
                <w:szCs w:val="16"/>
              </w:rPr>
              <w:t xml:space="preserve">Headings</w:t>
            </w:r>
          </w:p>
        </w:tc>
        <w:tc>
          <w:tcPr>
            <w:tcW w:type="dxa" w:w="5638"/>
            <w:tcBorders>
              <w:top w:val="single" w:color="C9CFDC" w:sz="2"/>
              <w:left w:val="none" w:color="FFFFFF" w:sz="0"/>
              <w:bottom w:val="single" w:color="C9CFDC" w:sz="2"/>
              <w:right w:val="none" w:color="FFFFFF" w:sz="0"/>
            </w:tcBorders>
            <w:shd w:fill="EDF0F7" w:color="auto" w:val="clear"/>
            <w:tcMar>
              <w:top w:type="dxa" w:w="75"/>
              <w:left w:type="dxa" w:w="125"/>
              <w:bottom w:type="dxa" w:w="75"/>
              <w:right w:type="dxa" w:w="125"/>
            </w:tcMar>
            <w:vAlign w:val="top"/>
          </w:tcPr>
          <w:p>
            <w:pPr>
              <w:spacing w:after="0" w:before="0" w:line="235"/>
            </w:pPr>
            <w:r>
              <w:rPr>
                <w:rFonts w:ascii="Calibri" w:cs="Calibri" w:eastAsia="Calibri" w:hAnsi="Calibri"/>
                <w:b/>
                <w:bCs/>
                <w:i w:val="false"/>
                <w:iCs w:val="false"/>
                <w:caps/>
                <w:color w:val="162F6A"/>
                <w:spacing w:val="16"/>
                <w:sz w:val="16"/>
                <w:szCs w:val="16"/>
              </w:rPr>
              <w:t xml:space="preserve">Where</w:t>
            </w:r>
          </w:p>
        </w:tc>
      </w:tr>
      <w:tr>
        <w:tc>
          <w:tcPr>
            <w:tcW w:type="dxa" w:w="2900"/>
            <w:tcBorders>
              <w:top w:val="single" w:color="C9CFDC" w:sz="2"/>
              <w:left w:val="none" w:color="FFFFFF" w:sz="0"/>
              <w:bottom w:val="single" w:color="C9CFDC" w:sz="2"/>
              <w:right w:val="none" w:color="FFFFFF" w:sz="0"/>
            </w:tcBorders>
            <w:tcMar>
              <w:top w:type="dxa" w:w="75"/>
              <w:left w:type="dxa" w:w="125"/>
              <w:bottom w:type="dxa" w:w="75"/>
              <w:right w:type="dxa" w:w="125"/>
            </w:tcMar>
            <w:vAlign w:val="top"/>
          </w:tcPr>
          <w:p>
            <w:pPr>
              <w:spacing w:after="0" w:before="0" w:line="248"/>
            </w:pPr>
            <w:r>
              <w:rPr>
                <w:rFonts w:ascii="Calibri" w:cs="Calibri" w:eastAsia="Calibri" w:hAnsi="Calibri"/>
                <w:b/>
                <w:bCs/>
                <w:i w:val="false"/>
                <w:iCs w:val="false"/>
                <w:caps w:val="false"/>
                <w:color w:val="1B2130"/>
                <w:sz w:val="21"/>
                <w:szCs w:val="21"/>
              </w:rPr>
              <w:t xml:space="preserve">Title Case</w:t>
            </w:r>
          </w:p>
        </w:tc>
        <w:tc>
          <w:tcPr>
            <w:tcW w:type="dxa" w:w="1100"/>
            <w:tcBorders>
              <w:top w:val="single" w:color="C9CFDC" w:sz="2"/>
              <w:left w:val="none" w:color="FFFFFF" w:sz="0"/>
              <w:bottom w:val="single" w:color="C9CFDC" w:sz="2"/>
              <w:right w:val="none" w:color="FFFFFF" w:sz="0"/>
            </w:tcBorders>
            <w:tcMar>
              <w:top w:type="dxa" w:w="75"/>
              <w:left w:type="dxa" w:w="125"/>
              <w:bottom w:type="dxa" w:w="75"/>
              <w:right w:type="dxa" w:w="125"/>
            </w:tcMar>
            <w:vAlign w:val="top"/>
          </w:tcPr>
          <w:p>
            <w:pPr>
              <w:spacing w:after="0" w:before="0" w:line="248"/>
              <w:jc w:val="right"/>
            </w:pPr>
            <w:r>
              <w:rPr>
                <w:rFonts w:ascii="Consolas" w:cs="Consolas" w:eastAsia="Consolas" w:hAnsi="Consolas"/>
                <w:b w:val="false"/>
                <w:bCs w:val="false"/>
                <w:i w:val="false"/>
                <w:iCs w:val="false"/>
                <w:caps w:val="false"/>
                <w:color w:val="333A48"/>
                <w:sz w:val="21"/>
                <w:szCs w:val="21"/>
              </w:rPr>
              <w:t xml:space="preserve">66</w:t>
            </w:r>
          </w:p>
        </w:tc>
        <w:tc>
          <w:tcPr>
            <w:tcW w:type="dxa" w:w="5638"/>
            <w:tcBorders>
              <w:top w:val="single" w:color="C9CFDC" w:sz="2"/>
              <w:left w:val="none" w:color="FFFFFF" w:sz="0"/>
              <w:bottom w:val="single" w:color="C9CFDC" w:sz="2"/>
              <w:right w:val="none" w:color="FFFFFF" w:sz="0"/>
            </w:tcBorders>
            <w:tcMar>
              <w:top w:type="dxa" w:w="75"/>
              <w:left w:type="dxa" w:w="125"/>
              <w:bottom w:type="dxa" w:w="75"/>
              <w:right w:type="dxa" w:w="125"/>
            </w:tcMar>
            <w:vAlign w:val="top"/>
          </w:tcPr>
          <w:p>
            <w:pPr>
              <w:spacing w:after="0" w:before="0" w:line="248"/>
            </w:pPr>
            <w:r>
              <w:rPr>
                <w:rFonts w:ascii="Calibri" w:cs="Calibri" w:eastAsia="Calibri" w:hAnsi="Calibri"/>
                <w:b w:val="false"/>
                <w:bCs w:val="false"/>
                <w:i w:val="false"/>
                <w:iCs w:val="false"/>
                <w:caps w:val="false"/>
                <w:color w:val="333A48"/>
                <w:sz w:val="19"/>
                <w:szCs w:val="19"/>
              </w:rPr>
              <w:t xml:space="preserve">The site’s prevailing rule — Annual Reports, Contact Us, Schemes &amp; Services</w:t>
            </w:r>
          </w:p>
        </w:tc>
      </w:tr>
      <w:tr>
        <w:tc>
          <w:tcPr>
            <w:tcW w:type="dxa" w:w="2900"/>
            <w:tcBorders>
              <w:top w:val="single" w:color="C9CFDC" w:sz="2"/>
              <w:left w:val="none" w:color="FFFFFF" w:sz="0"/>
              <w:bottom w:val="single" w:color="C9CFDC" w:sz="2"/>
              <w:right w:val="none" w:color="FFFFFF" w:sz="0"/>
            </w:tcBorders>
            <w:shd w:fill="F7F8FC" w:color="auto" w:val="clear"/>
            <w:tcMar>
              <w:top w:type="dxa" w:w="75"/>
              <w:left w:type="dxa" w:w="125"/>
              <w:bottom w:type="dxa" w:w="75"/>
              <w:right w:type="dxa" w:w="125"/>
            </w:tcMar>
            <w:vAlign w:val="top"/>
          </w:tcPr>
          <w:p>
            <w:pPr>
              <w:spacing w:after="0" w:before="0" w:line="248"/>
            </w:pPr>
            <w:r>
              <w:rPr>
                <w:rFonts w:ascii="Calibri" w:cs="Calibri" w:eastAsia="Calibri" w:hAnsi="Calibri"/>
                <w:b/>
                <w:bCs/>
                <w:i w:val="false"/>
                <w:iCs w:val="false"/>
                <w:caps w:val="false"/>
                <w:color w:val="1B2130"/>
                <w:sz w:val="21"/>
                <w:szCs w:val="21"/>
              </w:rPr>
              <w:t xml:space="preserve">ALL CAPITALS</w:t>
            </w:r>
          </w:p>
        </w:tc>
        <w:tc>
          <w:tcPr>
            <w:tcW w:type="dxa" w:w="1100"/>
            <w:tcBorders>
              <w:top w:val="single" w:color="C9CFDC" w:sz="2"/>
              <w:left w:val="none" w:color="FFFFFF" w:sz="0"/>
              <w:bottom w:val="single" w:color="C9CFDC" w:sz="2"/>
              <w:right w:val="none" w:color="FFFFFF" w:sz="0"/>
            </w:tcBorders>
            <w:shd w:fill="F7F8FC" w:color="auto" w:val="clear"/>
            <w:tcMar>
              <w:top w:type="dxa" w:w="75"/>
              <w:left w:type="dxa" w:w="125"/>
              <w:bottom w:type="dxa" w:w="75"/>
              <w:right w:type="dxa" w:w="125"/>
            </w:tcMar>
            <w:vAlign w:val="top"/>
          </w:tcPr>
          <w:p>
            <w:pPr>
              <w:spacing w:after="0" w:before="0" w:line="248"/>
              <w:jc w:val="right"/>
            </w:pPr>
            <w:r>
              <w:rPr>
                <w:rFonts w:ascii="Consolas" w:cs="Consolas" w:eastAsia="Consolas" w:hAnsi="Consolas"/>
                <w:b w:val="false"/>
                <w:bCs w:val="false"/>
                <w:i w:val="false"/>
                <w:iCs w:val="false"/>
                <w:caps w:val="false"/>
                <w:color w:val="333A48"/>
                <w:sz w:val="21"/>
                <w:szCs w:val="21"/>
              </w:rPr>
              <w:t xml:space="preserve">22</w:t>
            </w:r>
          </w:p>
        </w:tc>
        <w:tc>
          <w:tcPr>
            <w:tcW w:type="dxa" w:w="5638"/>
            <w:tcBorders>
              <w:top w:val="single" w:color="C9CFDC" w:sz="2"/>
              <w:left w:val="none" w:color="FFFFFF" w:sz="0"/>
              <w:bottom w:val="single" w:color="C9CFDC" w:sz="2"/>
              <w:right w:val="none" w:color="FFFFFF" w:sz="0"/>
            </w:tcBorders>
            <w:shd w:fill="F7F8FC" w:color="auto" w:val="clear"/>
            <w:tcMar>
              <w:top w:type="dxa" w:w="75"/>
              <w:left w:type="dxa" w:w="125"/>
              <w:bottom w:type="dxa" w:w="75"/>
              <w:right w:type="dxa" w:w="125"/>
            </w:tcMar>
            <w:vAlign w:val="top"/>
          </w:tcPr>
          <w:p>
            <w:pPr>
              <w:spacing w:after="0" w:before="0" w:line="248"/>
            </w:pPr>
            <w:r>
              <w:rPr>
                <w:rFonts w:ascii="Calibri" w:cs="Calibri" w:eastAsia="Calibri" w:hAnsi="Calibri"/>
                <w:b w:val="false"/>
                <w:bCs w:val="false"/>
                <w:i w:val="false"/>
                <w:iCs w:val="false"/>
                <w:caps w:val="false"/>
                <w:color w:val="333A48"/>
                <w:sz w:val="19"/>
                <w:szCs w:val="19"/>
              </w:rPr>
              <w:t xml:space="preserve">Every one of them on the Ministry Directory</w:t>
            </w:r>
          </w:p>
        </w:tc>
      </w:tr>
      <w:tr>
        <w:tc>
          <w:tcPr>
            <w:tcW w:type="dxa" w:w="2900"/>
            <w:tcBorders>
              <w:top w:val="single" w:color="C9CFDC" w:sz="2"/>
              <w:left w:val="none" w:color="FFFFFF" w:sz="0"/>
              <w:bottom w:val="single" w:color="C9CFDC" w:sz="2"/>
              <w:right w:val="none" w:color="FFFFFF" w:sz="0"/>
            </w:tcBorders>
            <w:tcMar>
              <w:top w:type="dxa" w:w="75"/>
              <w:left w:type="dxa" w:w="125"/>
              <w:bottom w:type="dxa" w:w="75"/>
              <w:right w:type="dxa" w:w="125"/>
            </w:tcMar>
            <w:vAlign w:val="top"/>
          </w:tcPr>
          <w:p>
            <w:pPr>
              <w:spacing w:after="0" w:before="0" w:line="248"/>
            </w:pPr>
            <w:r>
              <w:rPr>
                <w:rFonts w:ascii="Calibri" w:cs="Calibri" w:eastAsia="Calibri" w:hAnsi="Calibri"/>
                <w:b/>
                <w:bCs/>
                <w:i w:val="false"/>
                <w:iCs w:val="false"/>
                <w:caps w:val="false"/>
                <w:color w:val="1B2130"/>
                <w:sz w:val="21"/>
                <w:szCs w:val="21"/>
              </w:rPr>
              <w:t xml:space="preserve">Sentence case</w:t>
            </w:r>
          </w:p>
        </w:tc>
        <w:tc>
          <w:tcPr>
            <w:tcW w:type="dxa" w:w="1100"/>
            <w:tcBorders>
              <w:top w:val="single" w:color="C9CFDC" w:sz="2"/>
              <w:left w:val="none" w:color="FFFFFF" w:sz="0"/>
              <w:bottom w:val="single" w:color="C9CFDC" w:sz="2"/>
              <w:right w:val="none" w:color="FFFFFF" w:sz="0"/>
            </w:tcBorders>
            <w:tcMar>
              <w:top w:type="dxa" w:w="75"/>
              <w:left w:type="dxa" w:w="125"/>
              <w:bottom w:type="dxa" w:w="75"/>
              <w:right w:type="dxa" w:w="125"/>
            </w:tcMar>
            <w:vAlign w:val="top"/>
          </w:tcPr>
          <w:p>
            <w:pPr>
              <w:spacing w:after="0" w:before="0" w:line="248"/>
              <w:jc w:val="right"/>
            </w:pPr>
            <w:r>
              <w:rPr>
                <w:rFonts w:ascii="Consolas" w:cs="Consolas" w:eastAsia="Consolas" w:hAnsi="Consolas"/>
                <w:b w:val="false"/>
                <w:bCs w:val="false"/>
                <w:i w:val="false"/>
                <w:iCs w:val="false"/>
                <w:caps w:val="false"/>
                <w:color w:val="333A48"/>
                <w:sz w:val="21"/>
                <w:szCs w:val="21"/>
              </w:rPr>
              <w:t xml:space="preserve">6</w:t>
            </w:r>
          </w:p>
        </w:tc>
        <w:tc>
          <w:tcPr>
            <w:tcW w:type="dxa" w:w="5638"/>
            <w:tcBorders>
              <w:top w:val="single" w:color="C9CFDC" w:sz="2"/>
              <w:left w:val="none" w:color="FFFFFF" w:sz="0"/>
              <w:bottom w:val="single" w:color="C9CFDC" w:sz="2"/>
              <w:right w:val="none" w:color="FFFFFF" w:sz="0"/>
            </w:tcBorders>
            <w:tcMar>
              <w:top w:type="dxa" w:w="75"/>
              <w:left w:type="dxa" w:w="125"/>
              <w:bottom w:type="dxa" w:w="75"/>
              <w:right w:type="dxa" w:w="125"/>
            </w:tcMar>
            <w:vAlign w:val="top"/>
          </w:tcPr>
          <w:p>
            <w:pPr>
              <w:spacing w:after="0" w:before="0" w:line="248"/>
            </w:pPr>
            <w:r>
              <w:rPr>
                <w:rFonts w:ascii="Calibri" w:cs="Calibri" w:eastAsia="Calibri" w:hAnsi="Calibri"/>
                <w:b w:val="false"/>
                <w:bCs w:val="false"/>
                <w:i w:val="false"/>
                <w:iCs w:val="false"/>
                <w:caps w:val="false"/>
                <w:color w:val="333A48"/>
                <w:sz w:val="19"/>
                <w:szCs w:val="19"/>
              </w:rPr>
              <w:t xml:space="preserve">Who’s Who, the privacy policy, and “About us” on the DAF page</w:t>
            </w:r>
          </w:p>
        </w:tc>
      </w:tr>
    </w:tbl>
    <w:p>
      <w:pPr>
        <w:spacing w:after="140" w:before="0" w:line="276"/>
      </w:pPr>
      <w:r>
        <w:rPr>
          <w:rFonts w:ascii="Calibri" w:cs="Calibri" w:eastAsia="Calibri" w:hAnsi="Calibri"/>
          <w:b w:val="false"/>
          <w:bCs w:val="false"/>
          <w:i w:val="false"/>
          <w:iCs w:val="false"/>
          <w:caps w:val="false"/>
          <w:color w:val="333A48"/>
          <w:sz w:val="21"/>
          <w:szCs w:val="21"/>
        </w:rPr>
        <w:t xml:space="preserve">Five pages use more than one style within themselves. The Ministry page is headed “About Us” and the Dr. Ambedkar Foundation page “About us”.</w:t>
      </w:r>
    </w:p>
    <w:p>
      <w:pPr>
        <w:keepNext/>
        <w:spacing w:after="80" w:before="230" w:line="276"/>
      </w:pPr>
      <w:r>
        <w:rPr>
          <w:rFonts w:ascii="Consolas" w:cs="Consolas" w:eastAsia="Consolas" w:hAnsi="Consolas"/>
          <w:b/>
          <w:bCs/>
          <w:i w:val="false"/>
          <w:iCs w:val="false"/>
          <w:caps w:val="false"/>
          <w:color w:val="8C2B2B"/>
          <w:sz w:val="16"/>
          <w:szCs w:val="16"/>
        </w:rPr>
        <w:t xml:space="preserve">2.4  </w:t>
      </w:r>
      <w:r>
        <w:rPr>
          <w:rFonts w:ascii="Georgia" w:cs="Georgia" w:eastAsia="Georgia" w:hAnsi="Georgia"/>
          <w:b/>
          <w:bCs/>
          <w:i w:val="false"/>
          <w:iCs w:val="false"/>
          <w:caps w:val="false"/>
          <w:color w:val="1B2130"/>
          <w:sz w:val="21"/>
          <w:szCs w:val="21"/>
        </w:rPr>
        <w:t xml:space="preserve">Eight Button Styles on a Single Page</w:t>
      </w:r>
    </w:p>
    <w:p>
      <w:pPr>
        <w:spacing w:after="140" w:before="0" w:line="276"/>
      </w:pPr>
      <w:r>
        <w:rPr>
          <w:rFonts w:ascii="Calibri" w:cs="Calibri" w:eastAsia="Calibri" w:hAnsi="Calibri"/>
          <w:b w:val="false"/>
          <w:bCs w:val="false"/>
          <w:i w:val="false"/>
          <w:iCs w:val="false"/>
          <w:caps w:val="false"/>
          <w:color w:val="333A48"/>
          <w:sz w:val="21"/>
          <w:szCs w:val="21"/>
        </w:rPr>
        <w:t xml:space="preserve">Measured on the home page: four different corner roundings (0, 4, 5 and 8 pixels), five padding schemes, two text sizes and two weights. “Admin Login” appears twice on that page — once as blue text on white with a 4-pixel corner, once as white text on blue with an 8-pixel corner. The same instruction, drawn two ways, within one screen.</w:t>
      </w:r>
    </w:p>
    <w:p>
      <w:pPr>
        <w:keepNext/>
        <w:spacing w:after="80" w:before="230" w:line="276"/>
      </w:pPr>
      <w:r>
        <w:rPr>
          <w:rFonts w:ascii="Consolas" w:cs="Consolas" w:eastAsia="Consolas" w:hAnsi="Consolas"/>
          <w:b/>
          <w:bCs/>
          <w:i w:val="false"/>
          <w:iCs w:val="false"/>
          <w:caps w:val="false"/>
          <w:color w:val="8C2B2B"/>
          <w:sz w:val="16"/>
          <w:szCs w:val="16"/>
        </w:rPr>
        <w:t xml:space="preserve">2.5  </w:t>
      </w:r>
      <w:r>
        <w:rPr>
          <w:rFonts w:ascii="Georgia" w:cs="Georgia" w:eastAsia="Georgia" w:hAnsi="Georgia"/>
          <w:b/>
          <w:bCs/>
          <w:i w:val="false"/>
          <w:iCs w:val="false"/>
          <w:caps w:val="false"/>
          <w:color w:val="1B2130"/>
          <w:sz w:val="21"/>
          <w:szCs w:val="21"/>
        </w:rPr>
        <w:t xml:space="preserve">No Settled Palette</w:t>
      </w:r>
    </w:p>
    <w:p>
      <w:pPr>
        <w:spacing w:after="140" w:before="0" w:line="276"/>
      </w:pPr>
      <w:r>
        <w:rPr>
          <w:rFonts w:ascii="Calibri" w:cs="Calibri" w:eastAsia="Calibri" w:hAnsi="Calibri"/>
          <w:b w:val="false"/>
          <w:bCs w:val="false"/>
          <w:i w:val="false"/>
          <w:iCs w:val="false"/>
          <w:caps w:val="false"/>
          <w:color w:val="333A48"/>
          <w:sz w:val="21"/>
          <w:szCs w:val="21"/>
        </w:rPr>
        <w:t xml:space="preserve">Colours in live use, collected from the rendered pages: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638"/>
      </w:tblGrid>
      <w:tr>
        <w:trPr>
          <w:tblHeader/>
        </w:trPr>
        <w:tc>
          <w:tcPr>
            <w:tcW w:type="dxa" w:w="2000"/>
            <w:tcBorders>
              <w:top w:val="single" w:color="C9CFDC" w:sz="2"/>
              <w:left w:val="none" w:color="FFFFFF" w:sz="0"/>
              <w:bottom w:val="single" w:color="C9CFDC" w:sz="2"/>
              <w:right w:val="none" w:color="FFFFFF" w:sz="0"/>
            </w:tcBorders>
            <w:shd w:fill="EDF0F7" w:color="auto" w:val="clear"/>
            <w:tcMar>
              <w:top w:type="dxa" w:w="75"/>
              <w:left w:type="dxa" w:w="125"/>
              <w:bottom w:type="dxa" w:w="75"/>
              <w:right w:type="dxa" w:w="125"/>
            </w:tcMar>
            <w:vAlign w:val="top"/>
          </w:tcPr>
          <w:p>
            <w:pPr>
              <w:spacing w:after="0" w:before="0" w:line="235"/>
            </w:pPr>
            <w:r>
              <w:rPr>
                <w:rFonts w:ascii="Calibri" w:cs="Calibri" w:eastAsia="Calibri" w:hAnsi="Calibri"/>
                <w:b/>
                <w:bCs/>
                <w:i w:val="false"/>
                <w:iCs w:val="false"/>
                <w:caps/>
                <w:color w:val="162F6A"/>
                <w:spacing w:val="16"/>
                <w:sz w:val="16"/>
                <w:szCs w:val="16"/>
              </w:rPr>
              <w:t xml:space="preserve">Family</w:t>
            </w:r>
          </w:p>
        </w:tc>
        <w:tc>
          <w:tcPr>
            <w:tcW w:type="dxa" w:w="7638"/>
            <w:tcBorders>
              <w:top w:val="single" w:color="C9CFDC" w:sz="2"/>
              <w:left w:val="none" w:color="FFFFFF" w:sz="0"/>
              <w:bottom w:val="single" w:color="C9CFDC" w:sz="2"/>
              <w:right w:val="none" w:color="FFFFFF" w:sz="0"/>
            </w:tcBorders>
            <w:shd w:fill="EDF0F7" w:color="auto" w:val="clear"/>
            <w:tcMar>
              <w:top w:type="dxa" w:w="75"/>
              <w:left w:type="dxa" w:w="125"/>
              <w:bottom w:type="dxa" w:w="75"/>
              <w:right w:type="dxa" w:w="125"/>
            </w:tcMar>
            <w:vAlign w:val="top"/>
          </w:tcPr>
          <w:p>
            <w:pPr>
              <w:spacing w:after="0" w:before="0" w:line="235"/>
            </w:pPr>
            <w:r>
              <w:rPr>
                <w:rFonts w:ascii="Calibri" w:cs="Calibri" w:eastAsia="Calibri" w:hAnsi="Calibri"/>
                <w:b/>
                <w:bCs/>
                <w:i w:val="false"/>
                <w:iCs w:val="false"/>
                <w:caps/>
                <w:color w:val="162F6A"/>
                <w:spacing w:val="16"/>
                <w:sz w:val="16"/>
                <w:szCs w:val="16"/>
              </w:rPr>
              <w:t xml:space="preserve">Values found in use</w:t>
            </w:r>
          </w:p>
        </w:tc>
      </w:tr>
      <w:tr>
        <w:tc>
          <w:tcPr>
            <w:tcW w:type="dxa" w:w="2000"/>
            <w:tcBorders>
              <w:top w:val="single" w:color="C9CFDC" w:sz="2"/>
              <w:left w:val="none" w:color="FFFFFF" w:sz="0"/>
              <w:bottom w:val="single" w:color="C9CFDC" w:sz="2"/>
              <w:right w:val="none" w:color="FFFFFF" w:sz="0"/>
            </w:tcBorders>
            <w:tcMar>
              <w:top w:type="dxa" w:w="75"/>
              <w:left w:type="dxa" w:w="125"/>
              <w:bottom w:type="dxa" w:w="75"/>
              <w:right w:type="dxa" w:w="125"/>
            </w:tcMar>
            <w:vAlign w:val="top"/>
          </w:tcPr>
          <w:p>
            <w:pPr>
              <w:spacing w:after="0" w:before="0" w:line="248"/>
            </w:pPr>
            <w:r>
              <w:rPr>
                <w:rFonts w:ascii="Calibri" w:cs="Calibri" w:eastAsia="Calibri" w:hAnsi="Calibri"/>
                <w:b/>
                <w:bCs/>
                <w:i w:val="false"/>
                <w:iCs w:val="false"/>
                <w:caps w:val="false"/>
                <w:color w:val="1B2130"/>
                <w:sz w:val="21"/>
                <w:szCs w:val="21"/>
              </w:rPr>
              <w:t xml:space="preserve">Blue</w:t>
            </w:r>
          </w:p>
        </w:tc>
        <w:tc>
          <w:tcPr>
            <w:tcW w:type="dxa" w:w="7638"/>
            <w:tcBorders>
              <w:top w:val="single" w:color="C9CFDC" w:sz="2"/>
              <w:left w:val="none" w:color="FFFFFF" w:sz="0"/>
              <w:bottom w:val="single" w:color="C9CFDC" w:sz="2"/>
              <w:right w:val="none" w:color="FFFFFF" w:sz="0"/>
            </w:tcBorders>
            <w:tcMar>
              <w:top w:type="dxa" w:w="75"/>
              <w:left w:type="dxa" w:w="125"/>
              <w:bottom w:type="dxa" w:w="75"/>
              <w:right w:type="dxa" w:w="125"/>
            </w:tcMar>
            <w:vAlign w:val="top"/>
          </w:tcPr>
          <w:p>
            <w:pPr>
              <w:spacing w:after="0" w:before="0" w:line="248"/>
            </w:pPr>
            <w:r>
              <w:rPr>
                <w:rFonts w:ascii="Consolas" w:cs="Consolas" w:eastAsia="Consolas" w:hAnsi="Consolas"/>
                <w:b w:val="false"/>
                <w:bCs w:val="false"/>
                <w:i w:val="false"/>
                <w:iCs w:val="false"/>
                <w:caps w:val="false"/>
                <w:color w:val="333A48"/>
                <w:sz w:val="18"/>
                <w:szCs w:val="18"/>
              </w:rPr>
              <w:t xml:space="preserve">#0373DF · #014B92 · #0A4D8F · #004AAD · #1E6FD9 · #0067AF · #2980B9  — seven</w:t>
            </w:r>
          </w:p>
        </w:tc>
      </w:tr>
      <w:tr>
        <w:tc>
          <w:tcPr>
            <w:tcW w:type="dxa" w:w="2000"/>
            <w:tcBorders>
              <w:top w:val="single" w:color="C9CFDC" w:sz="2"/>
              <w:left w:val="none" w:color="FFFFFF" w:sz="0"/>
              <w:bottom w:val="single" w:color="C9CFDC" w:sz="2"/>
              <w:right w:val="none" w:color="FFFFFF" w:sz="0"/>
            </w:tcBorders>
            <w:shd w:fill="F7F8FC" w:color="auto" w:val="clear"/>
            <w:tcMar>
              <w:top w:type="dxa" w:w="75"/>
              <w:left w:type="dxa" w:w="125"/>
              <w:bottom w:type="dxa" w:w="75"/>
              <w:right w:type="dxa" w:w="125"/>
            </w:tcMar>
            <w:vAlign w:val="top"/>
          </w:tcPr>
          <w:p>
            <w:pPr>
              <w:spacing w:after="0" w:before="0" w:line="248"/>
            </w:pPr>
            <w:r>
              <w:rPr>
                <w:rFonts w:ascii="Calibri" w:cs="Calibri" w:eastAsia="Calibri" w:hAnsi="Calibri"/>
                <w:b/>
                <w:bCs/>
                <w:i w:val="false"/>
                <w:iCs w:val="false"/>
                <w:caps w:val="false"/>
                <w:color w:val="1B2130"/>
                <w:sz w:val="21"/>
                <w:szCs w:val="21"/>
              </w:rPr>
              <w:t xml:space="preserve">Body grey</w:t>
            </w:r>
          </w:p>
        </w:tc>
        <w:tc>
          <w:tcPr>
            <w:tcW w:type="dxa" w:w="7638"/>
            <w:tcBorders>
              <w:top w:val="single" w:color="C9CFDC" w:sz="2"/>
              <w:left w:val="none" w:color="FFFFFF" w:sz="0"/>
              <w:bottom w:val="single" w:color="C9CFDC" w:sz="2"/>
              <w:right w:val="none" w:color="FFFFFF" w:sz="0"/>
            </w:tcBorders>
            <w:shd w:fill="F7F8FC" w:color="auto" w:val="clear"/>
            <w:tcMar>
              <w:top w:type="dxa" w:w="75"/>
              <w:left w:type="dxa" w:w="125"/>
              <w:bottom w:type="dxa" w:w="75"/>
              <w:right w:type="dxa" w:w="125"/>
            </w:tcMar>
            <w:vAlign w:val="top"/>
          </w:tcPr>
          <w:p>
            <w:pPr>
              <w:spacing w:after="0" w:before="0" w:line="248"/>
            </w:pPr>
            <w:r>
              <w:rPr>
                <w:rFonts w:ascii="Consolas" w:cs="Consolas" w:eastAsia="Consolas" w:hAnsi="Consolas"/>
                <w:b w:val="false"/>
                <w:bCs w:val="false"/>
                <w:i w:val="false"/>
                <w:iCs w:val="false"/>
                <w:caps w:val="false"/>
                <w:color w:val="333A48"/>
                <w:sz w:val="18"/>
                <w:szCs w:val="18"/>
              </w:rPr>
              <w:t xml:space="preserve">#1F2937 · #374151 · #515962 · #54595F · #555555 · #1F2124 · #212121 · #000000  — eight</w:t>
            </w:r>
          </w:p>
        </w:tc>
      </w:tr>
      <w:tr>
        <w:tc>
          <w:tcPr>
            <w:tcW w:type="dxa" w:w="2000"/>
            <w:tcBorders>
              <w:top w:val="single" w:color="C9CFDC" w:sz="2"/>
              <w:left w:val="none" w:color="FFFFFF" w:sz="0"/>
              <w:bottom w:val="single" w:color="C9CFDC" w:sz="2"/>
              <w:right w:val="none" w:color="FFFFFF" w:sz="0"/>
            </w:tcBorders>
            <w:tcMar>
              <w:top w:type="dxa" w:w="75"/>
              <w:left w:type="dxa" w:w="125"/>
              <w:bottom w:type="dxa" w:w="75"/>
              <w:right w:type="dxa" w:w="125"/>
            </w:tcMar>
            <w:vAlign w:val="top"/>
          </w:tcPr>
          <w:p>
            <w:pPr>
              <w:spacing w:after="0" w:before="0" w:line="248"/>
            </w:pPr>
            <w:r>
              <w:rPr>
                <w:rFonts w:ascii="Calibri" w:cs="Calibri" w:eastAsia="Calibri" w:hAnsi="Calibri"/>
                <w:b/>
                <w:bCs/>
                <w:i w:val="false"/>
                <w:iCs w:val="false"/>
                <w:caps w:val="false"/>
                <w:color w:val="1B2130"/>
                <w:sz w:val="21"/>
                <w:szCs w:val="21"/>
              </w:rPr>
              <w:t xml:space="preserve">Green</w:t>
            </w:r>
          </w:p>
        </w:tc>
        <w:tc>
          <w:tcPr>
            <w:tcW w:type="dxa" w:w="7638"/>
            <w:tcBorders>
              <w:top w:val="single" w:color="C9CFDC" w:sz="2"/>
              <w:left w:val="none" w:color="FFFFFF" w:sz="0"/>
              <w:bottom w:val="single" w:color="C9CFDC" w:sz="2"/>
              <w:right w:val="none" w:color="FFFFFF" w:sz="0"/>
            </w:tcBorders>
            <w:tcMar>
              <w:top w:type="dxa" w:w="75"/>
              <w:left w:type="dxa" w:w="125"/>
              <w:bottom w:type="dxa" w:w="75"/>
              <w:right w:type="dxa" w:w="125"/>
            </w:tcMar>
            <w:vAlign w:val="top"/>
          </w:tcPr>
          <w:p>
            <w:pPr>
              <w:spacing w:after="0" w:before="0" w:line="248"/>
            </w:pPr>
            <w:r>
              <w:rPr>
                <w:rFonts w:ascii="Consolas" w:cs="Consolas" w:eastAsia="Consolas" w:hAnsi="Consolas"/>
                <w:b w:val="false"/>
                <w:bCs w:val="false"/>
                <w:i w:val="false"/>
                <w:iCs w:val="false"/>
                <w:caps w:val="false"/>
                <w:color w:val="333A48"/>
                <w:sz w:val="18"/>
                <w:szCs w:val="18"/>
              </w:rPr>
              <w:t xml:space="preserve">#2E7D32 · #198754 · #0D5537 · #0F6B2C  — four</w:t>
            </w:r>
          </w:p>
        </w:tc>
      </w:tr>
      <w:tr>
        <w:tc>
          <w:tcPr>
            <w:tcW w:type="dxa" w:w="2000"/>
            <w:tcBorders>
              <w:top w:val="single" w:color="C9CFDC" w:sz="2"/>
              <w:left w:val="none" w:color="FFFFFF" w:sz="0"/>
              <w:bottom w:val="single" w:color="C9CFDC" w:sz="2"/>
              <w:right w:val="none" w:color="FFFFFF" w:sz="0"/>
            </w:tcBorders>
            <w:shd w:fill="F7F8FC" w:color="auto" w:val="clear"/>
            <w:tcMar>
              <w:top w:type="dxa" w:w="75"/>
              <w:left w:type="dxa" w:w="125"/>
              <w:bottom w:type="dxa" w:w="75"/>
              <w:right w:type="dxa" w:w="125"/>
            </w:tcMar>
            <w:vAlign w:val="top"/>
          </w:tcPr>
          <w:p>
            <w:pPr>
              <w:spacing w:after="0" w:before="0" w:line="248"/>
            </w:pPr>
            <w:r>
              <w:rPr>
                <w:rFonts w:ascii="Calibri" w:cs="Calibri" w:eastAsia="Calibri" w:hAnsi="Calibri"/>
                <w:b/>
                <w:bCs/>
                <w:i w:val="false"/>
                <w:iCs w:val="false"/>
                <w:caps w:val="false"/>
                <w:color w:val="1B2130"/>
                <w:sz w:val="21"/>
                <w:szCs w:val="21"/>
              </w:rPr>
              <w:t xml:space="preserve">Off-brand</w:t>
            </w:r>
          </w:p>
        </w:tc>
        <w:tc>
          <w:tcPr>
            <w:tcW w:type="dxa" w:w="7638"/>
            <w:tcBorders>
              <w:top w:val="single" w:color="C9CFDC" w:sz="2"/>
              <w:left w:val="none" w:color="FFFFFF" w:sz="0"/>
              <w:bottom w:val="single" w:color="C9CFDC" w:sz="2"/>
              <w:right w:val="none" w:color="FFFFFF" w:sz="0"/>
            </w:tcBorders>
            <w:shd w:fill="F7F8FC" w:color="auto" w:val="clear"/>
            <w:tcMar>
              <w:top w:type="dxa" w:w="75"/>
              <w:left w:type="dxa" w:w="125"/>
              <w:bottom w:type="dxa" w:w="75"/>
              <w:right w:type="dxa" w:w="125"/>
            </w:tcMar>
            <w:vAlign w:val="top"/>
          </w:tcPr>
          <w:p>
            <w:pPr>
              <w:spacing w:after="0" w:before="0" w:line="248"/>
            </w:pPr>
            <w:r>
              <w:rPr>
                <w:rFonts w:ascii="Consolas" w:cs="Consolas" w:eastAsia="Consolas" w:hAnsi="Consolas"/>
                <w:b w:val="false"/>
                <w:bCs w:val="false"/>
                <w:i w:val="false"/>
                <w:iCs w:val="false"/>
                <w:caps w:val="false"/>
                <w:color w:val="8C2B2B"/>
                <w:sz w:val="18"/>
                <w:szCs w:val="18"/>
              </w:rPr>
              <w:t xml:space="preserve">#613AF5 (violet) and #FF0055 (magenta), neither of which belongs to the Department’s identity</w:t>
            </w:r>
          </w:p>
        </w:tc>
      </w:tr>
    </w:tbl>
    <w:p>
      <w:pPr>
        <w:spacing w:after="140" w:before="0" w:line="276"/>
      </w:pPr>
      <w:r>
        <w:rPr>
          <w:rFonts w:ascii="Calibri" w:cs="Calibri" w:eastAsia="Calibri" w:hAnsi="Calibri"/>
          <w:b w:val="false"/>
          <w:bCs w:val="false"/>
          <w:i w:val="false"/>
          <w:iCs w:val="false"/>
          <w:caps w:val="false"/>
          <w:color w:val="333A48"/>
          <w:sz w:val="21"/>
          <w:szCs w:val="21"/>
        </w:rPr>
        <w:t xml:space="preserve">Eight greys for body text is the one that shows most. It is why some pages read a little heavier or lighter than others without a visitor being able to say why.</w:t>
      </w:r>
    </w:p>
    <w:p>
      <w:pPr>
        <w:keepNext/>
        <w:spacing w:after="80" w:before="230" w:line="276"/>
      </w:pPr>
      <w:r>
        <w:rPr>
          <w:rFonts w:ascii="Consolas" w:cs="Consolas" w:eastAsia="Consolas" w:hAnsi="Consolas"/>
          <w:b/>
          <w:bCs/>
          <w:i w:val="false"/>
          <w:iCs w:val="false"/>
          <w:caps w:val="false"/>
          <w:color w:val="8C2B2B"/>
          <w:sz w:val="16"/>
          <w:szCs w:val="16"/>
        </w:rPr>
        <w:t xml:space="preserve">2.6  </w:t>
      </w:r>
      <w:r>
        <w:rPr>
          <w:rFonts w:ascii="Georgia" w:cs="Georgia" w:eastAsia="Georgia" w:hAnsi="Georgia"/>
          <w:b/>
          <w:bCs/>
          <w:i w:val="false"/>
          <w:iCs w:val="false"/>
          <w:caps w:val="false"/>
          <w:color w:val="1B2130"/>
          <w:sz w:val="21"/>
          <w:szCs w:val="21"/>
        </w:rPr>
        <w:t xml:space="preserve">Seventeen Text Sizes, in Three Different Units</w:t>
      </w:r>
    </w:p>
    <w:p>
      <w:pPr>
        <w:spacing w:after="140" w:before="0" w:line="276"/>
      </w:pPr>
      <w:r>
        <w:rPr>
          <w:rFonts w:ascii="Calibri" w:cs="Calibri" w:eastAsia="Calibri" w:hAnsi="Calibri"/>
          <w:b w:val="false"/>
          <w:bCs w:val="false"/>
          <w:i w:val="false"/>
          <w:iCs w:val="false"/>
          <w:caps w:val="false"/>
          <w:color w:val="333A48"/>
          <w:sz w:val="21"/>
          <w:szCs w:val="21"/>
        </w:rPr>
        <w:t xml:space="preserve">Declared sizes found: 10.5, 11, 11.5, 12, 12.5, 13, 14, 15, 16, 18, 20, 22, 28 and 32 pixels, together with 0.75rem, 0.9375rem and 1.5em. Five of those sit inside a two-pixel band — 11, 11.5, 12, 12.5 and 13 — which no reader can distinguish and no editor can apply consistently. Mixing pixels with rem and em also means some text resizes when a visitor enlarges the page and some does not.</w:t>
      </w:r>
    </w:p>
    <w:p>
      <w:pPr>
        <w:keepNext/>
        <w:spacing w:after="80" w:before="230" w:line="276"/>
      </w:pPr>
      <w:r>
        <w:rPr>
          <w:rFonts w:ascii="Consolas" w:cs="Consolas" w:eastAsia="Consolas" w:hAnsi="Consolas"/>
          <w:b/>
          <w:bCs/>
          <w:i w:val="false"/>
          <w:iCs w:val="false"/>
          <w:caps w:val="false"/>
          <w:color w:val="8C2B2B"/>
          <w:sz w:val="16"/>
          <w:szCs w:val="16"/>
        </w:rPr>
        <w:t xml:space="preserve">2.7  </w:t>
      </w:r>
      <w:r>
        <w:rPr>
          <w:rFonts w:ascii="Georgia" w:cs="Georgia" w:eastAsia="Georgia" w:hAnsi="Georgia"/>
          <w:b/>
          <w:bCs/>
          <w:i w:val="false"/>
          <w:iCs w:val="false"/>
          <w:caps w:val="false"/>
          <w:color w:val="1B2130"/>
          <w:sz w:val="21"/>
          <w:szCs w:val="21"/>
        </w:rPr>
        <w:t xml:space="preserve">Five Date Formats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1500"/>
        <w:gridCol w:w="5238"/>
      </w:tblGrid>
      <w:tr>
        <w:trPr>
          <w:tblHeader/>
        </w:trPr>
        <w:tc>
          <w:tcPr>
            <w:tcW w:type="dxa" w:w="2900"/>
            <w:tcBorders>
              <w:top w:val="single" w:color="C9CFDC" w:sz="2"/>
              <w:left w:val="none" w:color="FFFFFF" w:sz="0"/>
              <w:bottom w:val="single" w:color="C9CFDC" w:sz="2"/>
              <w:right w:val="none" w:color="FFFFFF" w:sz="0"/>
            </w:tcBorders>
            <w:shd w:fill="EDF0F7" w:color="auto" w:val="clear"/>
            <w:tcMar>
              <w:top w:type="dxa" w:w="75"/>
              <w:left w:type="dxa" w:w="125"/>
              <w:bottom w:type="dxa" w:w="75"/>
              <w:right w:type="dxa" w:w="125"/>
            </w:tcMar>
            <w:vAlign w:val="top"/>
          </w:tcPr>
          <w:p>
            <w:pPr>
              <w:spacing w:after="0" w:before="0" w:line="235"/>
            </w:pPr>
            <w:r>
              <w:rPr>
                <w:rFonts w:ascii="Calibri" w:cs="Calibri" w:eastAsia="Calibri" w:hAnsi="Calibri"/>
                <w:b/>
                <w:bCs/>
                <w:i w:val="false"/>
                <w:iCs w:val="false"/>
                <w:caps/>
                <w:color w:val="162F6A"/>
                <w:spacing w:val="16"/>
                <w:sz w:val="16"/>
                <w:szCs w:val="16"/>
              </w:rPr>
              <w:t xml:space="preserve">Format</w:t>
            </w:r>
          </w:p>
        </w:tc>
        <w:tc>
          <w:tcPr>
            <w:tcW w:type="dxa" w:w="1500"/>
            <w:tcBorders>
              <w:top w:val="single" w:color="C9CFDC" w:sz="2"/>
              <w:left w:val="none" w:color="FFFFFF" w:sz="0"/>
              <w:bottom w:val="single" w:color="C9CFDC" w:sz="2"/>
              <w:right w:val="none" w:color="FFFFFF" w:sz="0"/>
            </w:tcBorders>
            <w:shd w:fill="EDF0F7" w:color="auto" w:val="clear"/>
            <w:tcMar>
              <w:top w:type="dxa" w:w="75"/>
              <w:left w:type="dxa" w:w="125"/>
              <w:bottom w:type="dxa" w:w="75"/>
              <w:right w:type="dxa" w:w="125"/>
            </w:tcMar>
            <w:vAlign w:val="top"/>
          </w:tcPr>
          <w:p>
            <w:pPr>
              <w:spacing w:after="0" w:before="0" w:line="235"/>
              <w:jc w:val="right"/>
            </w:pPr>
            <w:r>
              <w:rPr>
                <w:rFonts w:ascii="Calibri" w:cs="Calibri" w:eastAsia="Calibri" w:hAnsi="Calibri"/>
                <w:b/>
                <w:bCs/>
                <w:i w:val="false"/>
                <w:iCs w:val="false"/>
                <w:caps/>
                <w:color w:val="162F6A"/>
                <w:spacing w:val="16"/>
                <w:sz w:val="16"/>
                <w:szCs w:val="16"/>
              </w:rPr>
              <w:t xml:space="preserve">Pages</w:t>
            </w:r>
          </w:p>
        </w:tc>
        <w:tc>
          <w:tcPr>
            <w:tcW w:type="dxa" w:w="5238"/>
            <w:tcBorders>
              <w:top w:val="single" w:color="C9CFDC" w:sz="2"/>
              <w:left w:val="none" w:color="FFFFFF" w:sz="0"/>
              <w:bottom w:val="single" w:color="C9CFDC" w:sz="2"/>
              <w:right w:val="none" w:color="FFFFFF" w:sz="0"/>
            </w:tcBorders>
            <w:shd w:fill="EDF0F7" w:color="auto" w:val="clear"/>
            <w:tcMar>
              <w:top w:type="dxa" w:w="75"/>
              <w:left w:type="dxa" w:w="125"/>
              <w:bottom w:type="dxa" w:w="75"/>
              <w:right w:type="dxa" w:w="125"/>
            </w:tcMar>
            <w:vAlign w:val="top"/>
          </w:tcPr>
          <w:p>
            <w:pPr>
              <w:spacing w:after="0" w:before="0" w:line="235"/>
            </w:pPr>
            <w:r>
              <w:rPr>
                <w:rFonts w:ascii="Calibri" w:cs="Calibri" w:eastAsia="Calibri" w:hAnsi="Calibri"/>
                <w:b/>
                <w:bCs/>
                <w:i w:val="false"/>
                <w:iCs w:val="false"/>
                <w:caps/>
                <w:color w:val="162F6A"/>
                <w:spacing w:val="16"/>
                <w:sz w:val="16"/>
                <w:szCs w:val="16"/>
              </w:rPr>
              <w:t xml:space="preserve">As it appears</w:t>
            </w:r>
          </w:p>
        </w:tc>
      </w:tr>
      <w:tr>
        <w:tc>
          <w:tcPr>
            <w:tcW w:type="dxa" w:w="2900"/>
            <w:tcBorders>
              <w:top w:val="single" w:color="C9CFDC" w:sz="2"/>
              <w:left w:val="none" w:color="FFFFFF" w:sz="0"/>
              <w:bottom w:val="single" w:color="C9CFDC" w:sz="2"/>
              <w:right w:val="none" w:color="FFFFFF" w:sz="0"/>
            </w:tcBorders>
            <w:tcMar>
              <w:top w:type="dxa" w:w="75"/>
              <w:left w:type="dxa" w:w="125"/>
              <w:bottom w:type="dxa" w:w="75"/>
              <w:right w:type="dxa" w:w="125"/>
            </w:tcMar>
            <w:vAlign w:val="top"/>
          </w:tcPr>
          <w:p>
            <w:pPr>
              <w:spacing w:after="0" w:before="0" w:line="248"/>
            </w:pPr>
            <w:r>
              <w:rPr>
                <w:rFonts w:ascii="Consolas" w:cs="Consolas" w:eastAsia="Consolas" w:hAnsi="Consolas"/>
                <w:b/>
                <w:bCs/>
                <w:i w:val="false"/>
                <w:iCs w:val="false"/>
                <w:caps w:val="false"/>
                <w:color w:val="1B2130"/>
                <w:sz w:val="21"/>
                <w:szCs w:val="21"/>
              </w:rPr>
              <w:t xml:space="preserve">1 January 2026</w:t>
            </w:r>
          </w:p>
        </w:tc>
        <w:tc>
          <w:tcPr>
            <w:tcW w:type="dxa" w:w="1500"/>
            <w:tcBorders>
              <w:top w:val="single" w:color="C9CFDC" w:sz="2"/>
              <w:left w:val="none" w:color="FFFFFF" w:sz="0"/>
              <w:bottom w:val="single" w:color="C9CFDC" w:sz="2"/>
              <w:right w:val="none" w:color="FFFFFF" w:sz="0"/>
            </w:tcBorders>
            <w:tcMar>
              <w:top w:type="dxa" w:w="75"/>
              <w:left w:type="dxa" w:w="125"/>
              <w:bottom w:type="dxa" w:w="75"/>
              <w:right w:type="dxa" w:w="125"/>
            </w:tcMar>
            <w:vAlign w:val="top"/>
          </w:tcPr>
          <w:p>
            <w:pPr>
              <w:spacing w:after="0" w:before="0" w:line="248"/>
              <w:jc w:val="right"/>
            </w:pPr>
            <w:r>
              <w:rPr>
                <w:rFonts w:ascii="Consolas" w:cs="Consolas" w:eastAsia="Consolas" w:hAnsi="Consolas"/>
                <w:b w:val="false"/>
                <w:bCs w:val="false"/>
                <w:i w:val="false"/>
                <w:iCs w:val="false"/>
                <w:caps w:val="false"/>
                <w:color w:val="333A48"/>
                <w:sz w:val="21"/>
                <w:szCs w:val="21"/>
              </w:rPr>
              <w:t xml:space="preserve">22 of 22</w:t>
            </w:r>
          </w:p>
        </w:tc>
        <w:tc>
          <w:tcPr>
            <w:tcW w:type="dxa" w:w="5238"/>
            <w:tcBorders>
              <w:top w:val="single" w:color="C9CFDC" w:sz="2"/>
              <w:left w:val="none" w:color="FFFFFF" w:sz="0"/>
              <w:bottom w:val="single" w:color="C9CFDC" w:sz="2"/>
              <w:right w:val="none" w:color="FFFFFF" w:sz="0"/>
            </w:tcBorders>
            <w:tcMar>
              <w:top w:type="dxa" w:w="75"/>
              <w:left w:type="dxa" w:w="125"/>
              <w:bottom w:type="dxa" w:w="75"/>
              <w:right w:type="dxa" w:w="125"/>
            </w:tcMar>
            <w:vAlign w:val="top"/>
          </w:tcPr>
          <w:p>
            <w:pPr>
              <w:spacing w:after="0" w:before="0" w:line="248"/>
            </w:pPr>
            <w:r>
              <w:rPr>
                <w:rFonts w:ascii="Consolas" w:cs="Consolas" w:eastAsia="Consolas" w:hAnsi="Consolas"/>
                <w:b w:val="false"/>
                <w:bCs w:val="false"/>
                <w:i w:val="false"/>
                <w:iCs w:val="false"/>
                <w:caps w:val="false"/>
                <w:color w:val="5F6779"/>
                <w:sz w:val="18"/>
                <w:szCs w:val="18"/>
              </w:rPr>
              <w:t xml:space="preserve">01 Jan 2021</w:t>
            </w:r>
          </w:p>
        </w:tc>
      </w:tr>
      <w:tr>
        <w:tc>
          <w:tcPr>
            <w:tcW w:type="dxa" w:w="2900"/>
            <w:tcBorders>
              <w:top w:val="single" w:color="C9CFDC" w:sz="2"/>
              <w:left w:val="none" w:color="FFFFFF" w:sz="0"/>
              <w:bottom w:val="single" w:color="C9CFDC" w:sz="2"/>
              <w:right w:val="none" w:color="FFFFFF" w:sz="0"/>
            </w:tcBorders>
            <w:shd w:fill="F7F8FC" w:color="auto" w:val="clear"/>
            <w:tcMar>
              <w:top w:type="dxa" w:w="75"/>
              <w:left w:type="dxa" w:w="125"/>
              <w:bottom w:type="dxa" w:w="75"/>
              <w:right w:type="dxa" w:w="125"/>
            </w:tcMar>
            <w:vAlign w:val="top"/>
          </w:tcPr>
          <w:p>
            <w:pPr>
              <w:spacing w:after="0" w:before="0" w:line="248"/>
            </w:pPr>
            <w:r>
              <w:rPr>
                <w:rFonts w:ascii="Consolas" w:cs="Consolas" w:eastAsia="Consolas" w:hAnsi="Consolas"/>
                <w:b/>
                <w:bCs/>
                <w:i w:val="false"/>
                <w:iCs w:val="false"/>
                <w:caps w:val="false"/>
                <w:color w:val="1B2130"/>
                <w:sz w:val="21"/>
                <w:szCs w:val="21"/>
              </w:rPr>
              <w:t xml:space="preserve">1.1.2026</w:t>
            </w:r>
          </w:p>
        </w:tc>
        <w:tc>
          <w:tcPr>
            <w:tcW w:type="dxa" w:w="1500"/>
            <w:tcBorders>
              <w:top w:val="single" w:color="C9CFDC" w:sz="2"/>
              <w:left w:val="none" w:color="FFFFFF" w:sz="0"/>
              <w:bottom w:val="single" w:color="C9CFDC" w:sz="2"/>
              <w:right w:val="none" w:color="FFFFFF" w:sz="0"/>
            </w:tcBorders>
            <w:shd w:fill="F7F8FC" w:color="auto" w:val="clear"/>
            <w:tcMar>
              <w:top w:type="dxa" w:w="75"/>
              <w:left w:type="dxa" w:w="125"/>
              <w:bottom w:type="dxa" w:w="75"/>
              <w:right w:type="dxa" w:w="125"/>
            </w:tcMar>
            <w:vAlign w:val="top"/>
          </w:tcPr>
          <w:p>
            <w:pPr>
              <w:spacing w:after="0" w:before="0" w:line="248"/>
              <w:jc w:val="right"/>
            </w:pPr>
            <w:r>
              <w:rPr>
                <w:rFonts w:ascii="Consolas" w:cs="Consolas" w:eastAsia="Consolas" w:hAnsi="Consolas"/>
                <w:b w:val="false"/>
                <w:bCs w:val="false"/>
                <w:i w:val="false"/>
                <w:iCs w:val="false"/>
                <w:caps w:val="false"/>
                <w:color w:val="333A48"/>
                <w:sz w:val="21"/>
                <w:szCs w:val="21"/>
              </w:rPr>
              <w:t xml:space="preserve">5</w:t>
            </w:r>
          </w:p>
        </w:tc>
        <w:tc>
          <w:tcPr>
            <w:tcW w:type="dxa" w:w="5238"/>
            <w:tcBorders>
              <w:top w:val="single" w:color="C9CFDC" w:sz="2"/>
              <w:left w:val="none" w:color="FFFFFF" w:sz="0"/>
              <w:bottom w:val="single" w:color="C9CFDC" w:sz="2"/>
              <w:right w:val="none" w:color="FFFFFF" w:sz="0"/>
            </w:tcBorders>
            <w:shd w:fill="F7F8FC" w:color="auto" w:val="clear"/>
            <w:tcMar>
              <w:top w:type="dxa" w:w="75"/>
              <w:left w:type="dxa" w:w="125"/>
              <w:bottom w:type="dxa" w:w="75"/>
              <w:right w:type="dxa" w:w="125"/>
            </w:tcMar>
            <w:vAlign w:val="top"/>
          </w:tcPr>
          <w:p>
            <w:pPr>
              <w:spacing w:after="0" w:before="0" w:line="248"/>
            </w:pPr>
            <w:r>
              <w:rPr>
                <w:rFonts w:ascii="Consolas" w:cs="Consolas" w:eastAsia="Consolas" w:hAnsi="Consolas"/>
                <w:b w:val="false"/>
                <w:bCs w:val="false"/>
                <w:i w:val="false"/>
                <w:iCs w:val="false"/>
                <w:caps w:val="false"/>
                <w:color w:val="5F6779"/>
                <w:sz w:val="18"/>
                <w:szCs w:val="18"/>
              </w:rPr>
              <w:t xml:space="preserve">03.08.2026</w:t>
            </w:r>
          </w:p>
        </w:tc>
      </w:tr>
      <w:tr>
        <w:tc>
          <w:tcPr>
            <w:tcW w:type="dxa" w:w="2900"/>
            <w:tcBorders>
              <w:top w:val="single" w:color="C9CFDC" w:sz="2"/>
              <w:left w:val="none" w:color="FFFFFF" w:sz="0"/>
              <w:bottom w:val="single" w:color="C9CFDC" w:sz="2"/>
              <w:right w:val="none" w:color="FFFFFF" w:sz="0"/>
            </w:tcBorders>
            <w:tcMar>
              <w:top w:type="dxa" w:w="75"/>
              <w:left w:type="dxa" w:w="125"/>
              <w:bottom w:type="dxa" w:w="75"/>
              <w:right w:type="dxa" w:w="125"/>
            </w:tcMar>
            <w:vAlign w:val="top"/>
          </w:tcPr>
          <w:p>
            <w:pPr>
              <w:spacing w:after="0" w:before="0" w:line="248"/>
            </w:pPr>
            <w:r>
              <w:rPr>
                <w:rFonts w:ascii="Consolas" w:cs="Consolas" w:eastAsia="Consolas" w:hAnsi="Consolas"/>
                <w:b/>
                <w:bCs/>
                <w:i w:val="false"/>
                <w:iCs w:val="false"/>
                <w:caps w:val="false"/>
                <w:color w:val="1B2130"/>
                <w:sz w:val="21"/>
                <w:szCs w:val="21"/>
              </w:rPr>
              <w:t xml:space="preserve">01-01-2026</w:t>
            </w:r>
          </w:p>
        </w:tc>
        <w:tc>
          <w:tcPr>
            <w:tcW w:type="dxa" w:w="1500"/>
            <w:tcBorders>
              <w:top w:val="single" w:color="C9CFDC" w:sz="2"/>
              <w:left w:val="none" w:color="FFFFFF" w:sz="0"/>
              <w:bottom w:val="single" w:color="C9CFDC" w:sz="2"/>
              <w:right w:val="none" w:color="FFFFFF" w:sz="0"/>
            </w:tcBorders>
            <w:tcMar>
              <w:top w:type="dxa" w:w="75"/>
              <w:left w:type="dxa" w:w="125"/>
              <w:bottom w:type="dxa" w:w="75"/>
              <w:right w:type="dxa" w:w="125"/>
            </w:tcMar>
            <w:vAlign w:val="top"/>
          </w:tcPr>
          <w:p>
            <w:pPr>
              <w:spacing w:after="0" w:before="0" w:line="248"/>
              <w:jc w:val="right"/>
            </w:pPr>
            <w:r>
              <w:rPr>
                <w:rFonts w:ascii="Consolas" w:cs="Consolas" w:eastAsia="Consolas" w:hAnsi="Consolas"/>
                <w:b w:val="false"/>
                <w:bCs w:val="false"/>
                <w:i w:val="false"/>
                <w:iCs w:val="false"/>
                <w:caps w:val="false"/>
                <w:color w:val="333A48"/>
                <w:sz w:val="21"/>
                <w:szCs w:val="21"/>
              </w:rPr>
              <w:t xml:space="preserve">2</w:t>
            </w:r>
          </w:p>
        </w:tc>
        <w:tc>
          <w:tcPr>
            <w:tcW w:type="dxa" w:w="5238"/>
            <w:tcBorders>
              <w:top w:val="single" w:color="C9CFDC" w:sz="2"/>
              <w:left w:val="none" w:color="FFFFFF" w:sz="0"/>
              <w:bottom w:val="single" w:color="C9CFDC" w:sz="2"/>
              <w:right w:val="none" w:color="FFFFFF" w:sz="0"/>
            </w:tcBorders>
            <w:tcMar>
              <w:top w:type="dxa" w:w="75"/>
              <w:left w:type="dxa" w:w="125"/>
              <w:bottom w:type="dxa" w:w="75"/>
              <w:right w:type="dxa" w:w="125"/>
            </w:tcMar>
            <w:vAlign w:val="top"/>
          </w:tcPr>
          <w:p>
            <w:pPr>
              <w:spacing w:after="0" w:before="0" w:line="248"/>
            </w:pPr>
            <w:r>
              <w:rPr>
                <w:rFonts w:ascii="Consolas" w:cs="Consolas" w:eastAsia="Consolas" w:hAnsi="Consolas"/>
                <w:b w:val="false"/>
                <w:bCs w:val="false"/>
                <w:i w:val="false"/>
                <w:iCs w:val="false"/>
                <w:caps w:val="false"/>
                <w:color w:val="5F6779"/>
                <w:sz w:val="18"/>
                <w:szCs w:val="18"/>
              </w:rPr>
              <w:t xml:space="preserve">01-03-2023</w:t>
            </w:r>
          </w:p>
        </w:tc>
      </w:tr>
      <w:tr>
        <w:tc>
          <w:tcPr>
            <w:tcW w:type="dxa" w:w="2900"/>
            <w:tcBorders>
              <w:top w:val="single" w:color="C9CFDC" w:sz="2"/>
              <w:left w:val="none" w:color="FFFFFF" w:sz="0"/>
              <w:bottom w:val="single" w:color="C9CFDC" w:sz="2"/>
              <w:right w:val="none" w:color="FFFFFF" w:sz="0"/>
            </w:tcBorders>
            <w:shd w:fill="F7F8FC" w:color="auto" w:val="clear"/>
            <w:tcMar>
              <w:top w:type="dxa" w:w="75"/>
              <w:left w:type="dxa" w:w="125"/>
              <w:bottom w:type="dxa" w:w="75"/>
              <w:right w:type="dxa" w:w="125"/>
            </w:tcMar>
            <w:vAlign w:val="top"/>
          </w:tcPr>
          <w:p>
            <w:pPr>
              <w:spacing w:after="0" w:before="0" w:line="248"/>
            </w:pPr>
            <w:r>
              <w:rPr>
                <w:rFonts w:ascii="Consolas" w:cs="Consolas" w:eastAsia="Consolas" w:hAnsi="Consolas"/>
                <w:b/>
                <w:bCs/>
                <w:i w:val="false"/>
                <w:iCs w:val="false"/>
                <w:caps w:val="false"/>
                <w:color w:val="1B2130"/>
                <w:sz w:val="21"/>
                <w:szCs w:val="21"/>
              </w:rPr>
              <w:t xml:space="preserve">January 1, 2026</w:t>
            </w:r>
          </w:p>
        </w:tc>
        <w:tc>
          <w:tcPr>
            <w:tcW w:type="dxa" w:w="1500"/>
            <w:tcBorders>
              <w:top w:val="single" w:color="C9CFDC" w:sz="2"/>
              <w:left w:val="none" w:color="FFFFFF" w:sz="0"/>
              <w:bottom w:val="single" w:color="C9CFDC" w:sz="2"/>
              <w:right w:val="none" w:color="FFFFFF" w:sz="0"/>
            </w:tcBorders>
            <w:shd w:fill="F7F8FC" w:color="auto" w:val="clear"/>
            <w:tcMar>
              <w:top w:type="dxa" w:w="75"/>
              <w:left w:type="dxa" w:w="125"/>
              <w:bottom w:type="dxa" w:w="75"/>
              <w:right w:type="dxa" w:w="125"/>
            </w:tcMar>
            <w:vAlign w:val="top"/>
          </w:tcPr>
          <w:p>
            <w:pPr>
              <w:spacing w:after="0" w:before="0" w:line="248"/>
              <w:jc w:val="right"/>
            </w:pPr>
            <w:r>
              <w:rPr>
                <w:rFonts w:ascii="Consolas" w:cs="Consolas" w:eastAsia="Consolas" w:hAnsi="Consolas"/>
                <w:b w:val="false"/>
                <w:bCs w:val="false"/>
                <w:i w:val="false"/>
                <w:iCs w:val="false"/>
                <w:caps w:val="false"/>
                <w:color w:val="333A48"/>
                <w:sz w:val="21"/>
                <w:szCs w:val="21"/>
              </w:rPr>
              <w:t xml:space="preserve">1</w:t>
            </w:r>
          </w:p>
        </w:tc>
        <w:tc>
          <w:tcPr>
            <w:tcW w:type="dxa" w:w="5238"/>
            <w:tcBorders>
              <w:top w:val="single" w:color="C9CFDC" w:sz="2"/>
              <w:left w:val="none" w:color="FFFFFF" w:sz="0"/>
              <w:bottom w:val="single" w:color="C9CFDC" w:sz="2"/>
              <w:right w:val="none" w:color="FFFFFF" w:sz="0"/>
            </w:tcBorders>
            <w:shd w:fill="F7F8FC" w:color="auto" w:val="clear"/>
            <w:tcMar>
              <w:top w:type="dxa" w:w="75"/>
              <w:left w:type="dxa" w:w="125"/>
              <w:bottom w:type="dxa" w:w="75"/>
              <w:right w:type="dxa" w:w="125"/>
            </w:tcMar>
            <w:vAlign w:val="top"/>
          </w:tcPr>
          <w:p>
            <w:pPr>
              <w:spacing w:after="0" w:before="0" w:line="248"/>
            </w:pPr>
            <w:r>
              <w:rPr>
                <w:rFonts w:ascii="Consolas" w:cs="Consolas" w:eastAsia="Consolas" w:hAnsi="Consolas"/>
                <w:b w:val="false"/>
                <w:bCs w:val="false"/>
                <w:i w:val="false"/>
                <w:iCs w:val="false"/>
                <w:caps w:val="false"/>
                <w:color w:val="5F6779"/>
                <w:sz w:val="18"/>
                <w:szCs w:val="18"/>
              </w:rPr>
              <w:t xml:space="preserve">January 3, 2012</w:t>
            </w:r>
          </w:p>
        </w:tc>
      </w:tr>
      <w:tr>
        <w:tc>
          <w:tcPr>
            <w:tcW w:type="dxa" w:w="2900"/>
            <w:tcBorders>
              <w:top w:val="single" w:color="C9CFDC" w:sz="2"/>
              <w:left w:val="none" w:color="FFFFFF" w:sz="0"/>
              <w:bottom w:val="single" w:color="C9CFDC" w:sz="2"/>
              <w:right w:val="none" w:color="FFFFFF" w:sz="0"/>
            </w:tcBorders>
            <w:tcMar>
              <w:top w:type="dxa" w:w="75"/>
              <w:left w:type="dxa" w:w="125"/>
              <w:bottom w:type="dxa" w:w="75"/>
              <w:right w:type="dxa" w:w="125"/>
            </w:tcMar>
            <w:vAlign w:val="top"/>
          </w:tcPr>
          <w:p>
            <w:pPr>
              <w:spacing w:after="0" w:before="0" w:line="248"/>
            </w:pPr>
            <w:r>
              <w:rPr>
                <w:rFonts w:ascii="Consolas" w:cs="Consolas" w:eastAsia="Consolas" w:hAnsi="Consolas"/>
                <w:b/>
                <w:bCs/>
                <w:i w:val="false"/>
                <w:iCs w:val="false"/>
                <w:caps w:val="false"/>
                <w:color w:val="1B2130"/>
                <w:sz w:val="21"/>
                <w:szCs w:val="21"/>
              </w:rPr>
              <w:t xml:space="preserve">01/01/2026</w:t>
            </w:r>
          </w:p>
        </w:tc>
        <w:tc>
          <w:tcPr>
            <w:tcW w:type="dxa" w:w="1500"/>
            <w:tcBorders>
              <w:top w:val="single" w:color="C9CFDC" w:sz="2"/>
              <w:left w:val="none" w:color="FFFFFF" w:sz="0"/>
              <w:bottom w:val="single" w:color="C9CFDC" w:sz="2"/>
              <w:right w:val="none" w:color="FFFFFF" w:sz="0"/>
            </w:tcBorders>
            <w:tcMar>
              <w:top w:type="dxa" w:w="75"/>
              <w:left w:type="dxa" w:w="125"/>
              <w:bottom w:type="dxa" w:w="75"/>
              <w:right w:type="dxa" w:w="125"/>
            </w:tcMar>
            <w:vAlign w:val="top"/>
          </w:tcPr>
          <w:p>
            <w:pPr>
              <w:spacing w:after="0" w:before="0" w:line="248"/>
              <w:jc w:val="right"/>
            </w:pPr>
            <w:r>
              <w:rPr>
                <w:rFonts w:ascii="Consolas" w:cs="Consolas" w:eastAsia="Consolas" w:hAnsi="Consolas"/>
                <w:b w:val="false"/>
                <w:bCs w:val="false"/>
                <w:i w:val="false"/>
                <w:iCs w:val="false"/>
                <w:caps w:val="false"/>
                <w:color w:val="333A48"/>
                <w:sz w:val="21"/>
                <w:szCs w:val="21"/>
              </w:rPr>
              <w:t xml:space="preserve">1</w:t>
            </w:r>
          </w:p>
        </w:tc>
        <w:tc>
          <w:tcPr>
            <w:tcW w:type="dxa" w:w="5238"/>
            <w:tcBorders>
              <w:top w:val="single" w:color="C9CFDC" w:sz="2"/>
              <w:left w:val="none" w:color="FFFFFF" w:sz="0"/>
              <w:bottom w:val="single" w:color="C9CFDC" w:sz="2"/>
              <w:right w:val="none" w:color="FFFFFF" w:sz="0"/>
            </w:tcBorders>
            <w:tcMar>
              <w:top w:type="dxa" w:w="75"/>
              <w:left w:type="dxa" w:w="125"/>
              <w:bottom w:type="dxa" w:w="75"/>
              <w:right w:type="dxa" w:w="125"/>
            </w:tcMar>
            <w:vAlign w:val="top"/>
          </w:tcPr>
          <w:p>
            <w:pPr>
              <w:spacing w:after="0" w:before="0" w:line="248"/>
            </w:pPr>
            <w:r>
              <w:rPr>
                <w:rFonts w:ascii="Consolas" w:cs="Consolas" w:eastAsia="Consolas" w:hAnsi="Consolas"/>
                <w:b w:val="false"/>
                <w:bCs w:val="false"/>
                <w:i w:val="false"/>
                <w:iCs w:val="false"/>
                <w:caps w:val="false"/>
                <w:color w:val="5F6779"/>
                <w:sz w:val="18"/>
                <w:szCs w:val="18"/>
              </w:rPr>
              <w:t xml:space="preserve">23/02/2026</w:t>
            </w:r>
          </w:p>
        </w:tc>
      </w:tr>
    </w:tbl>
    <w:p>
      <w:pPr>
        <w:spacing w:after="140" w:before="0" w:line="276"/>
      </w:pPr>
      <w:r>
        <w:rPr>
          <w:rFonts w:ascii="Calibri" w:cs="Calibri" w:eastAsia="Calibri" w:hAnsi="Calibri"/>
          <w:b w:val="false"/>
          <w:bCs w:val="false"/>
          <w:i w:val="false"/>
          <w:iCs w:val="false"/>
          <w:caps w:val="false"/>
          <w:color w:val="333A48"/>
          <w:sz w:val="21"/>
          <w:szCs w:val="21"/>
        </w:rPr>
        <w:t xml:space="preserve">The first is the site’s working standard and needs only to be applied to the rest. The American form — January 3, 2012 — should go in any case.</w:t>
      </w:r>
    </w:p>
    <w:p>
      <w:pPr>
        <w:keepNext/>
        <w:spacing w:after="80" w:before="230" w:line="276"/>
      </w:pPr>
      <w:r>
        <w:rPr>
          <w:rFonts w:ascii="Consolas" w:cs="Consolas" w:eastAsia="Consolas" w:hAnsi="Consolas"/>
          <w:b/>
          <w:bCs/>
          <w:i w:val="false"/>
          <w:iCs w:val="false"/>
          <w:caps w:val="false"/>
          <w:color w:val="8C2B2B"/>
          <w:sz w:val="16"/>
          <w:szCs w:val="16"/>
        </w:rPr>
        <w:t xml:space="preserve">2.8  </w:t>
      </w:r>
      <w:r>
        <w:rPr>
          <w:rFonts w:ascii="Georgia" w:cs="Georgia" w:eastAsia="Georgia" w:hAnsi="Georgia"/>
          <w:b/>
          <w:bCs/>
          <w:i w:val="false"/>
          <w:iCs w:val="false"/>
          <w:caps w:val="false"/>
          <w:color w:val="1B2130"/>
          <w:sz w:val="21"/>
          <w:szCs w:val="21"/>
        </w:rPr>
        <w:t xml:space="preserve">Forty-Six of Fifty-Two Picture Links Have No Name</w:t>
      </w:r>
    </w:p>
    <w:p>
      <w:pPr>
        <w:spacing w:after="140" w:before="0" w:line="276"/>
      </w:pPr>
      <w:r>
        <w:rPr>
          <w:rFonts w:ascii="Calibri" w:cs="Calibri" w:eastAsia="Calibri" w:hAnsi="Calibri"/>
          <w:b w:val="false"/>
          <w:bCs w:val="false"/>
          <w:i w:val="false"/>
          <w:iCs w:val="false"/>
          <w:caps w:val="false"/>
          <w:color w:val="333A48"/>
          <w:sz w:val="21"/>
          <w:szCs w:val="21"/>
        </w:rPr>
        <w:t xml:space="preserve">On the home page, fifty-two links are made of a picture alone. Six carry a text description; forty-six do not, so a visitor using a screen reader hears the file address instead of the destination. Among them are every organisation logo in the strip above the footer, the SAMAVESH banner, and the four audience cards.</w:t>
      </w:r>
    </w:p>
    <w:p>
      <w:pPr>
        <w:spacing w:after="140" w:before="0" w:line="276"/>
      </w:pPr>
      <w:r>
        <w:rPr>
          <w:rFonts w:ascii="Calibri" w:cs="Calibri" w:eastAsia="Calibri" w:hAnsi="Calibri"/>
          <w:b/>
          <w:bCs/>
          <w:i w:val="false"/>
          <w:iCs w:val="false"/>
          <w:caps w:val="false"/>
          <w:color w:val="1B2130"/>
          <w:sz w:val="21"/>
          <w:szCs w:val="21"/>
        </w:rPr>
        <w:t xml:space="preserve">This is a requirement, not a preference. </w:t>
      </w:r>
      <w:r>
        <w:rPr>
          <w:rFonts w:ascii="Calibri" w:cs="Calibri" w:eastAsia="Calibri" w:hAnsi="Calibri"/>
          <w:b w:val="false"/>
          <w:bCs w:val="false"/>
          <w:i w:val="false"/>
          <w:iCs w:val="false"/>
          <w:caps w:val="false"/>
          <w:color w:val="333A48"/>
          <w:sz w:val="21"/>
          <w:szCs w:val="21"/>
        </w:rPr>
        <w:t xml:space="preserve">GIGW 3.0 obliges Government of India websites to meet WCAG 2.1 Level AA, which requires every link to have a name that says where it goes. Six links on the page already do it correctly, so the fix is to apply an existing practice to the rest.</w:t>
      </w:r>
    </w:p>
    <w:p>
      <w:pPr>
        <w:keepNext/>
        <w:spacing w:after="80" w:before="230" w:line="276"/>
      </w:pPr>
      <w:r>
        <w:rPr>
          <w:rFonts w:ascii="Consolas" w:cs="Consolas" w:eastAsia="Consolas" w:hAnsi="Consolas"/>
          <w:b/>
          <w:bCs/>
          <w:i w:val="false"/>
          <w:iCs w:val="false"/>
          <w:caps w:val="false"/>
          <w:color w:val="8C2B2B"/>
          <w:sz w:val="16"/>
          <w:szCs w:val="16"/>
        </w:rPr>
        <w:t xml:space="preserve">2.9  </w:t>
      </w:r>
      <w:r>
        <w:rPr>
          <w:rFonts w:ascii="Georgia" w:cs="Georgia" w:eastAsia="Georgia" w:hAnsi="Georgia"/>
          <w:b/>
          <w:bCs/>
          <w:i w:val="false"/>
          <w:iCs w:val="false"/>
          <w:caps w:val="false"/>
          <w:color w:val="1B2130"/>
          <w:sz w:val="21"/>
          <w:szCs w:val="21"/>
        </w:rPr>
        <w:t xml:space="preserve">The Organisation Logo Strip</w:t>
      </w:r>
    </w:p>
    <w:p>
      <w:pPr>
        <w:spacing w:after="140" w:before="0" w:line="276"/>
      </w:pPr>
      <w:r>
        <w:rPr>
          <w:rFonts w:ascii="Calibri" w:cs="Calibri" w:eastAsia="Calibri" w:hAnsi="Calibri"/>
          <w:b w:val="false"/>
          <w:bCs w:val="false"/>
          <w:i w:val="false"/>
          <w:iCs w:val="false"/>
          <w:caps w:val="false"/>
          <w:color w:val="333A48"/>
          <w:sz w:val="21"/>
          <w:szCs w:val="21"/>
        </w:rPr>
        <w:t xml:space="preserve">The marks in the strip above the footer are supplied at different sizes and on different backgrounds — some on a white plate, some transparent — so the row reads as uneven from top to bottom, and e-Anudaan appears as plain text where the others appear as marks. This was raised at the review of 3 September and is carried here so that it sits with the other consistency items rather than on its own.</w:t>
      </w:r>
    </w:p>
    <w:p>
      <w:pPr>
        <w:keepNext/>
        <w:spacing w:after="80" w:before="230" w:line="276"/>
      </w:pPr>
      <w:r>
        <w:rPr>
          <w:rFonts w:ascii="Consolas" w:cs="Consolas" w:eastAsia="Consolas" w:hAnsi="Consolas"/>
          <w:b/>
          <w:bCs/>
          <w:i w:val="false"/>
          <w:iCs w:val="false"/>
          <w:caps w:val="false"/>
          <w:color w:val="8C2B2B"/>
          <w:sz w:val="16"/>
          <w:szCs w:val="16"/>
        </w:rPr>
        <w:t xml:space="preserve">2.10  </w:t>
      </w:r>
      <w:r>
        <w:rPr>
          <w:rFonts w:ascii="Georgia" w:cs="Georgia" w:eastAsia="Georgia" w:hAnsi="Georgia"/>
          <w:b/>
          <w:bCs/>
          <w:i w:val="false"/>
          <w:iCs w:val="false"/>
          <w:caps w:val="false"/>
          <w:color w:val="1B2130"/>
          <w:sz w:val="21"/>
          <w:szCs w:val="21"/>
        </w:rPr>
        <w:t xml:space="preserve">The Nine Scheme Report Pages</w:t>
      </w:r>
    </w:p>
    <w:p>
      <w:pPr>
        <w:spacing w:after="140" w:before="0" w:line="276"/>
      </w:pPr>
      <w:r>
        <w:rPr>
          <w:rFonts w:ascii="Calibri" w:cs="Calibri" w:eastAsia="Calibri" w:hAnsi="Calibri"/>
          <w:b w:val="false"/>
          <w:bCs w:val="false"/>
          <w:i w:val="false"/>
          <w:iCs w:val="false"/>
          <w:caps w:val="false"/>
          <w:color w:val="333A48"/>
          <w:sz w:val="21"/>
          <w:szCs w:val="21"/>
        </w:rPr>
        <w:t xml:space="preserve">The variations already recorded in this review — differing download controls, two behaviours for the same “PDF” button, technical wording in some error messages and plain English in others, and inconsistent filter panels — were established by the web team from the admin panel and are not re-examined here. They are consistent with everything above and should be corrected as part of the same exercise.</w:t>
      </w:r>
    </w:p>
    <w:p>
      <w:pPr>
        <w:keepNext/>
        <w:spacing w:after="110" w:before="340" w:line="276"/>
      </w:pPr>
      <w:r>
        <w:rPr>
          <w:rFonts w:ascii="Georgia" w:cs="Georgia" w:eastAsia="Georgia" w:hAnsi="Georgia"/>
          <w:b/>
          <w:bCs/>
          <w:i w:val="false"/>
          <w:iCs w:val="false"/>
          <w:caps w:val="false"/>
          <w:color w:val="162F6A"/>
          <w:sz w:val="30"/>
          <w:szCs w:val="30"/>
        </w:rPr>
        <w:t xml:space="preserve">A Correction to the Internal Document</w:t>
      </w:r>
    </w:p>
    <w:p>
      <w:pPr>
        <w:spacing w:after="140" w:before="0" w:line="276"/>
      </w:pPr>
      <w:r>
        <w:rPr>
          <w:rFonts w:ascii="Calibri" w:cs="Calibri" w:eastAsia="Calibri" w:hAnsi="Calibri"/>
          <w:b w:val="false"/>
          <w:bCs w:val="false"/>
          <w:i w:val="false"/>
          <w:iCs w:val="false"/>
          <w:caps w:val="false"/>
          <w:color w:val="333A48"/>
          <w:sz w:val="21"/>
          <w:szCs w:val="21"/>
        </w:rPr>
        <w:t xml:space="preserve">The internal document’s first recommendation is to replace the 47 About Us, Contact Us, RTI and FAQ pages with one template per type, drawing each organisation’s particulars from its record. </w:t>
      </w:r>
      <w:r>
        <w:rPr>
          <w:rFonts w:ascii="Calibri" w:cs="Calibri" w:eastAsia="Calibri" w:hAnsi="Calibri"/>
          <w:b/>
          <w:bCs/>
          <w:i w:val="false"/>
          <w:iCs w:val="false"/>
          <w:caps w:val="false"/>
          <w:color w:val="1B2130"/>
          <w:sz w:val="21"/>
          <w:szCs w:val="21"/>
        </w:rPr>
        <w:t xml:space="preserve">For Contact pages that is right and should proceed.</w:t>
      </w:r>
      <w:r>
        <w:rPr>
          <w:rFonts w:ascii="Calibri" w:cs="Calibri" w:eastAsia="Calibri" w:hAnsi="Calibri"/>
          <w:b w:val="false"/>
          <w:bCs w:val="false"/>
          <w:i w:val="false"/>
          <w:iCs w:val="false"/>
          <w:caps w:val="false"/>
          <w:color w:val="333A48"/>
          <w:sz w:val="21"/>
          <w:szCs w:val="21"/>
        </w:rPr>
        <w:t xml:space="preserve"> For the other three it would cause loss.</w:t>
      </w:r>
    </w:p>
    <w:p>
      <w:pPr>
        <w:spacing w:after="140" w:before="0" w:line="276"/>
      </w:pPr>
      <w:r>
        <w:rPr>
          <w:rFonts w:ascii="Calibri" w:cs="Calibri" w:eastAsia="Calibri" w:hAnsi="Calibri"/>
          <w:b w:val="false"/>
          <w:bCs w:val="false"/>
          <w:i w:val="false"/>
          <w:iCs w:val="false"/>
          <w:caps w:val="false"/>
          <w:color w:val="333A48"/>
          <w:sz w:val="21"/>
          <w:szCs w:val="21"/>
        </w:rPr>
        <w:t xml:space="preserve">The measurement in section 1.1 shows why. The sixteen About Us pages have an average similarity of two per cent and run from 1,585 to 15,240 characters — each is that body’s own history, written for it. The eleven FAQ pages average two per cent and run to 82,692 characters. There is no shared boilerplate in them to remove; a template would either discard the writing or leave it exactly where it is.</w:t>
      </w:r>
    </w:p>
    <w:p>
      <w:pPr>
        <w:spacing w:after="140" w:before="0" w:line="276"/>
      </w:pPr>
      <w:r>
        <w:rPr>
          <w:rFonts w:ascii="Calibri" w:cs="Calibri" w:eastAsia="Calibri" w:hAnsi="Calibri"/>
          <w:b/>
          <w:bCs/>
          <w:i w:val="false"/>
          <w:iCs w:val="false"/>
          <w:caps w:val="false"/>
          <w:color w:val="1B2130"/>
          <w:sz w:val="21"/>
          <w:szCs w:val="21"/>
        </w:rPr>
        <w:t xml:space="preserve">Revised recommendation: </w:t>
      </w:r>
      <w:r>
        <w:rPr>
          <w:rFonts w:ascii="Calibri" w:cs="Calibri" w:eastAsia="Calibri" w:hAnsi="Calibri"/>
          <w:b w:val="false"/>
          <w:bCs w:val="false"/>
          <w:i w:val="false"/>
          <w:iCs w:val="false"/>
          <w:caps w:val="false"/>
          <w:color w:val="333A48"/>
          <w:sz w:val="21"/>
          <w:szCs w:val="21"/>
        </w:rPr>
        <w:t xml:space="preserve">template the Contact pages only, where the content is short, structured and genuinely repeated. Leave About Us, FAQ and RTI as individual pages, and instead settle the address they are filed under — one of About Us, one of Contact Us, one of FAQ — so that the site can list them together.</w:t>
      </w:r>
    </w:p>
    <w:p>
      <w:pPr>
        <w:keepNext/>
        <w:spacing w:after="110" w:before="340" w:line="276"/>
      </w:pPr>
      <w:r>
        <w:rPr>
          <w:rFonts w:ascii="Georgia" w:cs="Georgia" w:eastAsia="Georgia" w:hAnsi="Georgia"/>
          <w:b/>
          <w:bCs/>
          <w:i w:val="false"/>
          <w:iCs w:val="false"/>
          <w:caps w:val="false"/>
          <w:color w:val="162F6A"/>
          <w:sz w:val="30"/>
          <w:szCs w:val="30"/>
        </w:rPr>
        <w:t xml:space="preserve">What to Fix, in Order</w:t>
      </w:r>
    </w:p>
    <w:p>
      <w:pPr>
        <w:spacing w:after="140" w:before="0" w:line="276"/>
      </w:pPr>
      <w:r>
        <w:rPr>
          <w:rFonts w:ascii="Calibri" w:cs="Calibri" w:eastAsia="Calibri" w:hAnsi="Calibri"/>
          <w:b w:val="false"/>
          <w:bCs w:val="false"/>
          <w:i w:val="false"/>
          <w:iCs w:val="false"/>
          <w:caps w:val="false"/>
          <w:color w:val="333A48"/>
          <w:sz w:val="21"/>
          <w:szCs w:val="21"/>
        </w:rPr>
        <w:t xml:space="preserve">The first three are corrections to what is published; the rest are decisions to take once and then apply.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3100"/>
        <w:gridCol w:w="4600"/>
        <w:gridCol w:w="1318"/>
      </w:tblGrid>
      <w:tr>
        <w:trPr>
          <w:tblHeader/>
        </w:trPr>
        <w:tc>
          <w:tcPr>
            <w:tcW w:type="dxa" w:w="620"/>
            <w:tcBorders>
              <w:top w:val="single" w:color="C9CFDC" w:sz="2"/>
              <w:left w:val="none" w:color="FFFFFF" w:sz="0"/>
              <w:bottom w:val="single" w:color="C9CFDC" w:sz="2"/>
              <w:right w:val="none" w:color="FFFFFF" w:sz="0"/>
            </w:tcBorders>
            <w:shd w:fill="EDF0F7" w:color="auto" w:val="clear"/>
            <w:tcMar>
              <w:top w:type="dxa" w:w="75"/>
              <w:left w:type="dxa" w:w="125"/>
              <w:bottom w:type="dxa" w:w="75"/>
              <w:right w:type="dxa" w:w="125"/>
            </w:tcMar>
            <w:vAlign w:val="top"/>
          </w:tcPr>
          <w:p>
            <w:pPr>
              <w:spacing w:after="0" w:before="0" w:line="235"/>
            </w:pPr>
            <w:r>
              <w:rPr>
                <w:rFonts w:ascii="Calibri" w:cs="Calibri" w:eastAsia="Calibri" w:hAnsi="Calibri"/>
                <w:b/>
                <w:bCs/>
                <w:i w:val="false"/>
                <w:iCs w:val="false"/>
                <w:caps/>
                <w:color w:val="162F6A"/>
                <w:spacing w:val="16"/>
                <w:sz w:val="16"/>
                <w:szCs w:val="16"/>
              </w:rPr>
              <w:t xml:space="preserve"/>
            </w:r>
          </w:p>
        </w:tc>
        <w:tc>
          <w:tcPr>
            <w:tcW w:type="dxa" w:w="3100"/>
            <w:tcBorders>
              <w:top w:val="single" w:color="C9CFDC" w:sz="2"/>
              <w:left w:val="none" w:color="FFFFFF" w:sz="0"/>
              <w:bottom w:val="single" w:color="C9CFDC" w:sz="2"/>
              <w:right w:val="none" w:color="FFFFFF" w:sz="0"/>
            </w:tcBorders>
            <w:shd w:fill="EDF0F7" w:color="auto" w:val="clear"/>
            <w:tcMar>
              <w:top w:type="dxa" w:w="75"/>
              <w:left w:type="dxa" w:w="125"/>
              <w:bottom w:type="dxa" w:w="75"/>
              <w:right w:type="dxa" w:w="125"/>
            </w:tcMar>
            <w:vAlign w:val="top"/>
          </w:tcPr>
          <w:p>
            <w:pPr>
              <w:spacing w:after="0" w:before="0" w:line="235"/>
            </w:pPr>
            <w:r>
              <w:rPr>
                <w:rFonts w:ascii="Calibri" w:cs="Calibri" w:eastAsia="Calibri" w:hAnsi="Calibri"/>
                <w:b/>
                <w:bCs/>
                <w:i w:val="false"/>
                <w:iCs w:val="false"/>
                <w:caps/>
                <w:color w:val="162F6A"/>
                <w:spacing w:val="16"/>
                <w:sz w:val="16"/>
                <w:szCs w:val="16"/>
              </w:rPr>
              <w:t xml:space="preserve">Action</w:t>
            </w:r>
          </w:p>
        </w:tc>
        <w:tc>
          <w:tcPr>
            <w:tcW w:type="dxa" w:w="4600"/>
            <w:tcBorders>
              <w:top w:val="single" w:color="C9CFDC" w:sz="2"/>
              <w:left w:val="none" w:color="FFFFFF" w:sz="0"/>
              <w:bottom w:val="single" w:color="C9CFDC" w:sz="2"/>
              <w:right w:val="none" w:color="FFFFFF" w:sz="0"/>
            </w:tcBorders>
            <w:shd w:fill="EDF0F7" w:color="auto" w:val="clear"/>
            <w:tcMar>
              <w:top w:type="dxa" w:w="75"/>
              <w:left w:type="dxa" w:w="125"/>
              <w:bottom w:type="dxa" w:w="75"/>
              <w:right w:type="dxa" w:w="125"/>
            </w:tcMar>
            <w:vAlign w:val="top"/>
          </w:tcPr>
          <w:p>
            <w:pPr>
              <w:spacing w:after="0" w:before="0" w:line="235"/>
            </w:pPr>
            <w:r>
              <w:rPr>
                <w:rFonts w:ascii="Calibri" w:cs="Calibri" w:eastAsia="Calibri" w:hAnsi="Calibri"/>
                <w:b/>
                <w:bCs/>
                <w:i w:val="false"/>
                <w:iCs w:val="false"/>
                <w:caps/>
                <w:color w:val="162F6A"/>
                <w:spacing w:val="16"/>
                <w:sz w:val="16"/>
                <w:szCs w:val="16"/>
              </w:rPr>
              <w:t xml:space="preserve">Why</w:t>
            </w:r>
          </w:p>
        </w:tc>
        <w:tc>
          <w:tcPr>
            <w:tcW w:type="dxa" w:w="1318"/>
            <w:tcBorders>
              <w:top w:val="single" w:color="C9CFDC" w:sz="2"/>
              <w:left w:val="none" w:color="FFFFFF" w:sz="0"/>
              <w:bottom w:val="single" w:color="C9CFDC" w:sz="2"/>
              <w:right w:val="none" w:color="FFFFFF" w:sz="0"/>
            </w:tcBorders>
            <w:shd w:fill="EDF0F7" w:color="auto" w:val="clear"/>
            <w:tcMar>
              <w:top w:type="dxa" w:w="75"/>
              <w:left w:type="dxa" w:w="125"/>
              <w:bottom w:type="dxa" w:w="75"/>
              <w:right w:type="dxa" w:w="125"/>
            </w:tcMar>
            <w:vAlign w:val="top"/>
          </w:tcPr>
          <w:p>
            <w:pPr>
              <w:spacing w:after="0" w:before="0" w:line="235"/>
            </w:pPr>
            <w:r>
              <w:rPr>
                <w:rFonts w:ascii="Calibri" w:cs="Calibri" w:eastAsia="Calibri" w:hAnsi="Calibri"/>
                <w:b/>
                <w:bCs/>
                <w:i w:val="false"/>
                <w:iCs w:val="false"/>
                <w:caps/>
                <w:color w:val="162F6A"/>
                <w:spacing w:val="16"/>
                <w:sz w:val="16"/>
                <w:szCs w:val="16"/>
              </w:rPr>
              <w:t xml:space="preserve">When</w:t>
            </w:r>
          </w:p>
        </w:tc>
      </w:tr>
      <w:tr>
        <w:tc>
          <w:tcPr>
            <w:tcW w:type="dxa" w:w="620"/>
            <w:tcBorders>
              <w:top w:val="single" w:color="C9CFDC" w:sz="2"/>
              <w:left w:val="none" w:color="FFFFFF" w:sz="0"/>
              <w:bottom w:val="single" w:color="C9CFDC" w:sz="2"/>
              <w:right w:val="none" w:color="FFFFFF" w:sz="0"/>
            </w:tcBorders>
            <w:tcMar>
              <w:top w:type="dxa" w:w="75"/>
              <w:left w:type="dxa" w:w="125"/>
              <w:bottom w:type="dxa" w:w="75"/>
              <w:right w:type="dxa" w:w="125"/>
            </w:tcMar>
            <w:vAlign w:val="top"/>
          </w:tcPr>
          <w:p>
            <w:pPr>
              <w:spacing w:after="0" w:before="0" w:line="248"/>
              <w:jc w:val="center"/>
            </w:pPr>
            <w:r>
              <w:rPr>
                <w:rFonts w:ascii="Consolas" w:cs="Consolas" w:eastAsia="Consolas" w:hAnsi="Consolas"/>
                <w:b/>
                <w:bCs/>
                <w:i w:val="false"/>
                <w:iCs w:val="false"/>
                <w:caps w:val="false"/>
                <w:color w:val="162F6A"/>
                <w:sz w:val="21"/>
                <w:szCs w:val="21"/>
              </w:rPr>
              <w:t xml:space="preserve">1</w:t>
            </w:r>
          </w:p>
        </w:tc>
        <w:tc>
          <w:tcPr>
            <w:tcW w:type="dxa" w:w="3100"/>
            <w:tcBorders>
              <w:top w:val="single" w:color="C9CFDC" w:sz="2"/>
              <w:left w:val="none" w:color="FFFFFF" w:sz="0"/>
              <w:bottom w:val="single" w:color="C9CFDC" w:sz="2"/>
              <w:right w:val="none" w:color="FFFFFF" w:sz="0"/>
            </w:tcBorders>
            <w:tcMar>
              <w:top w:type="dxa" w:w="75"/>
              <w:left w:type="dxa" w:w="125"/>
              <w:bottom w:type="dxa" w:w="75"/>
              <w:right w:type="dxa" w:w="125"/>
            </w:tcMar>
            <w:vAlign w:val="top"/>
          </w:tcPr>
          <w:p>
            <w:pPr>
              <w:spacing w:after="0" w:before="0" w:line="248"/>
            </w:pPr>
            <w:r>
              <w:rPr>
                <w:rFonts w:ascii="Calibri" w:cs="Calibri" w:eastAsia="Calibri" w:hAnsi="Calibri"/>
                <w:b/>
                <w:bCs/>
                <w:i w:val="false"/>
                <w:iCs w:val="false"/>
                <w:caps w:val="false"/>
                <w:color w:val="1B2130"/>
                <w:sz w:val="21"/>
                <w:szCs w:val="21"/>
              </w:rPr>
              <w:t xml:space="preserve">Correct the four links labelled “SECC 2011”</w:t>
            </w:r>
          </w:p>
        </w:tc>
        <w:tc>
          <w:tcPr>
            <w:tcW w:type="dxa" w:w="4600"/>
            <w:tcBorders>
              <w:top w:val="single" w:color="C9CFDC" w:sz="2"/>
              <w:left w:val="none" w:color="FFFFFF" w:sz="0"/>
              <w:bottom w:val="single" w:color="C9CFDC" w:sz="2"/>
              <w:right w:val="none" w:color="FFFFFF" w:sz="0"/>
            </w:tcBorders>
            <w:tcMar>
              <w:top w:type="dxa" w:w="75"/>
              <w:left w:type="dxa" w:w="125"/>
              <w:bottom w:type="dxa" w:w="75"/>
              <w:right w:type="dxa" w:w="125"/>
            </w:tcMar>
            <w:vAlign w:val="top"/>
          </w:tcPr>
          <w:p>
            <w:pPr>
              <w:spacing w:after="0" w:before="0" w:line="248"/>
            </w:pPr>
            <w:r>
              <w:rPr>
                <w:rFonts w:ascii="Calibri" w:cs="Calibri" w:eastAsia="Calibri" w:hAnsi="Calibri"/>
                <w:b w:val="false"/>
                <w:bCs w:val="false"/>
                <w:i w:val="false"/>
                <w:iCs w:val="false"/>
                <w:caps w:val="false"/>
                <w:color w:val="5F6779"/>
                <w:sz w:val="19"/>
                <w:szCs w:val="19"/>
              </w:rPr>
              <w:t xml:space="preserve">Three of four labels point somewhere other than what they say. A visitor cannot reach two of those pages by any other route.</w:t>
            </w:r>
          </w:p>
        </w:tc>
        <w:tc>
          <w:tcPr>
            <w:tcW w:type="dxa" w:w="1318"/>
            <w:tcBorders>
              <w:top w:val="single" w:color="C9CFDC" w:sz="2"/>
              <w:left w:val="none" w:color="FFFFFF" w:sz="0"/>
              <w:bottom w:val="single" w:color="C9CFDC" w:sz="2"/>
              <w:right w:val="none" w:color="FFFFFF" w:sz="0"/>
            </w:tcBorders>
            <w:tcMar>
              <w:top w:type="dxa" w:w="75"/>
              <w:left w:type="dxa" w:w="125"/>
              <w:bottom w:type="dxa" w:w="75"/>
              <w:right w:type="dxa" w:w="125"/>
            </w:tcMar>
            <w:vAlign w:val="top"/>
          </w:tcPr>
          <w:p>
            <w:pPr>
              <w:spacing w:after="0" w:before="0" w:line="248"/>
            </w:pPr>
            <w:r>
              <w:rPr>
                <w:rFonts w:ascii="Calibri" w:cs="Calibri" w:eastAsia="Calibri" w:hAnsi="Calibri"/>
                <w:b/>
                <w:bCs/>
                <w:i w:val="false"/>
                <w:iCs w:val="false"/>
                <w:caps w:val="false"/>
                <w:color w:val="8C2B2B"/>
                <w:sz w:val="18"/>
                <w:szCs w:val="18"/>
              </w:rPr>
              <w:t xml:space="preserve">Immediate</w:t>
            </w:r>
          </w:p>
        </w:tc>
      </w:tr>
      <w:tr>
        <w:tc>
          <w:tcPr>
            <w:tcW w:type="dxa" w:w="620"/>
            <w:tcBorders>
              <w:top w:val="single" w:color="C9CFDC" w:sz="2"/>
              <w:left w:val="none" w:color="FFFFFF" w:sz="0"/>
              <w:bottom w:val="single" w:color="C9CFDC" w:sz="2"/>
              <w:right w:val="none" w:color="FFFFFF" w:sz="0"/>
            </w:tcBorders>
            <w:shd w:fill="F7F8FC" w:color="auto" w:val="clear"/>
            <w:tcMar>
              <w:top w:type="dxa" w:w="75"/>
              <w:left w:type="dxa" w:w="125"/>
              <w:bottom w:type="dxa" w:w="75"/>
              <w:right w:type="dxa" w:w="125"/>
            </w:tcMar>
            <w:vAlign w:val="top"/>
          </w:tcPr>
          <w:p>
            <w:pPr>
              <w:spacing w:after="0" w:before="0" w:line="248"/>
              <w:jc w:val="center"/>
            </w:pPr>
            <w:r>
              <w:rPr>
                <w:rFonts w:ascii="Consolas" w:cs="Consolas" w:eastAsia="Consolas" w:hAnsi="Consolas"/>
                <w:b/>
                <w:bCs/>
                <w:i w:val="false"/>
                <w:iCs w:val="false"/>
                <w:caps w:val="false"/>
                <w:color w:val="162F6A"/>
                <w:sz w:val="21"/>
                <w:szCs w:val="21"/>
              </w:rPr>
              <w:t xml:space="preserve">2</w:t>
            </w:r>
          </w:p>
        </w:tc>
        <w:tc>
          <w:tcPr>
            <w:tcW w:type="dxa" w:w="3100"/>
            <w:tcBorders>
              <w:top w:val="single" w:color="C9CFDC" w:sz="2"/>
              <w:left w:val="none" w:color="FFFFFF" w:sz="0"/>
              <w:bottom w:val="single" w:color="C9CFDC" w:sz="2"/>
              <w:right w:val="none" w:color="FFFFFF" w:sz="0"/>
            </w:tcBorders>
            <w:shd w:fill="F7F8FC" w:color="auto" w:val="clear"/>
            <w:tcMar>
              <w:top w:type="dxa" w:w="75"/>
              <w:left w:type="dxa" w:w="125"/>
              <w:bottom w:type="dxa" w:w="75"/>
              <w:right w:type="dxa" w:w="125"/>
            </w:tcMar>
            <w:vAlign w:val="top"/>
          </w:tcPr>
          <w:p>
            <w:pPr>
              <w:spacing w:after="0" w:before="0" w:line="248"/>
            </w:pPr>
            <w:r>
              <w:rPr>
                <w:rFonts w:ascii="Calibri" w:cs="Calibri" w:eastAsia="Calibri" w:hAnsi="Calibri"/>
                <w:b/>
                <w:bCs/>
                <w:i w:val="false"/>
                <w:iCs w:val="false"/>
                <w:caps w:val="false"/>
                <w:color w:val="1B2130"/>
                <w:sz w:val="21"/>
                <w:szCs w:val="21"/>
              </w:rPr>
              <w:t xml:space="preserve">Give the 46 picture links a name</w:t>
            </w:r>
          </w:p>
        </w:tc>
        <w:tc>
          <w:tcPr>
            <w:tcW w:type="dxa" w:w="4600"/>
            <w:tcBorders>
              <w:top w:val="single" w:color="C9CFDC" w:sz="2"/>
              <w:left w:val="none" w:color="FFFFFF" w:sz="0"/>
              <w:bottom w:val="single" w:color="C9CFDC" w:sz="2"/>
              <w:right w:val="none" w:color="FFFFFF" w:sz="0"/>
            </w:tcBorders>
            <w:shd w:fill="F7F8FC" w:color="auto" w:val="clear"/>
            <w:tcMar>
              <w:top w:type="dxa" w:w="75"/>
              <w:left w:type="dxa" w:w="125"/>
              <w:bottom w:type="dxa" w:w="75"/>
              <w:right w:type="dxa" w:w="125"/>
            </w:tcMar>
            <w:vAlign w:val="top"/>
          </w:tcPr>
          <w:p>
            <w:pPr>
              <w:spacing w:after="0" w:before="0" w:line="248"/>
            </w:pPr>
            <w:r>
              <w:rPr>
                <w:rFonts w:ascii="Calibri" w:cs="Calibri" w:eastAsia="Calibri" w:hAnsi="Calibri"/>
                <w:b w:val="false"/>
                <w:bCs w:val="false"/>
                <w:i w:val="false"/>
                <w:iCs w:val="false"/>
                <w:caps w:val="false"/>
                <w:color w:val="5F6779"/>
                <w:sz w:val="19"/>
                <w:szCs w:val="19"/>
              </w:rPr>
              <w:t xml:space="preserve">A legal requirement under GIGW, and six links on the same page already show the pattern to follow.</w:t>
            </w:r>
          </w:p>
        </w:tc>
        <w:tc>
          <w:tcPr>
            <w:tcW w:type="dxa" w:w="1318"/>
            <w:tcBorders>
              <w:top w:val="single" w:color="C9CFDC" w:sz="2"/>
              <w:left w:val="none" w:color="FFFFFF" w:sz="0"/>
              <w:bottom w:val="single" w:color="C9CFDC" w:sz="2"/>
              <w:right w:val="none" w:color="FFFFFF" w:sz="0"/>
            </w:tcBorders>
            <w:shd w:fill="F7F8FC" w:color="auto" w:val="clear"/>
            <w:tcMar>
              <w:top w:type="dxa" w:w="75"/>
              <w:left w:type="dxa" w:w="125"/>
              <w:bottom w:type="dxa" w:w="75"/>
              <w:right w:type="dxa" w:w="125"/>
            </w:tcMar>
            <w:vAlign w:val="top"/>
          </w:tcPr>
          <w:p>
            <w:pPr>
              <w:spacing w:after="0" w:before="0" w:line="248"/>
            </w:pPr>
            <w:r>
              <w:rPr>
                <w:rFonts w:ascii="Calibri" w:cs="Calibri" w:eastAsia="Calibri" w:hAnsi="Calibri"/>
                <w:b/>
                <w:bCs/>
                <w:i w:val="false"/>
                <w:iCs w:val="false"/>
                <w:caps w:val="false"/>
                <w:color w:val="8C2B2B"/>
                <w:sz w:val="18"/>
                <w:szCs w:val="18"/>
              </w:rPr>
              <w:t xml:space="preserve">Immediate</w:t>
            </w:r>
          </w:p>
        </w:tc>
      </w:tr>
      <w:tr>
        <w:tc>
          <w:tcPr>
            <w:tcW w:type="dxa" w:w="620"/>
            <w:tcBorders>
              <w:top w:val="single" w:color="C9CFDC" w:sz="2"/>
              <w:left w:val="none" w:color="FFFFFF" w:sz="0"/>
              <w:bottom w:val="single" w:color="C9CFDC" w:sz="2"/>
              <w:right w:val="none" w:color="FFFFFF" w:sz="0"/>
            </w:tcBorders>
            <w:tcMar>
              <w:top w:type="dxa" w:w="75"/>
              <w:left w:type="dxa" w:w="125"/>
              <w:bottom w:type="dxa" w:w="75"/>
              <w:right w:type="dxa" w:w="125"/>
            </w:tcMar>
            <w:vAlign w:val="top"/>
          </w:tcPr>
          <w:p>
            <w:pPr>
              <w:spacing w:after="0" w:before="0" w:line="248"/>
              <w:jc w:val="center"/>
            </w:pPr>
            <w:r>
              <w:rPr>
                <w:rFonts w:ascii="Consolas" w:cs="Consolas" w:eastAsia="Consolas" w:hAnsi="Consolas"/>
                <w:b/>
                <w:bCs/>
                <w:i w:val="false"/>
                <w:iCs w:val="false"/>
                <w:caps w:val="false"/>
                <w:color w:val="162F6A"/>
                <w:sz w:val="21"/>
                <w:szCs w:val="21"/>
              </w:rPr>
              <w:t xml:space="preserve">3</w:t>
            </w:r>
          </w:p>
        </w:tc>
        <w:tc>
          <w:tcPr>
            <w:tcW w:type="dxa" w:w="3100"/>
            <w:tcBorders>
              <w:top w:val="single" w:color="C9CFDC" w:sz="2"/>
              <w:left w:val="none" w:color="FFFFFF" w:sz="0"/>
              <w:bottom w:val="single" w:color="C9CFDC" w:sz="2"/>
              <w:right w:val="none" w:color="FFFFFF" w:sz="0"/>
            </w:tcBorders>
            <w:tcMar>
              <w:top w:type="dxa" w:w="75"/>
              <w:left w:type="dxa" w:w="125"/>
              <w:bottom w:type="dxa" w:w="75"/>
              <w:right w:type="dxa" w:w="125"/>
            </w:tcMar>
            <w:vAlign w:val="top"/>
          </w:tcPr>
          <w:p>
            <w:pPr>
              <w:spacing w:after="0" w:before="0" w:line="248"/>
            </w:pPr>
            <w:r>
              <w:rPr>
                <w:rFonts w:ascii="Calibri" w:cs="Calibri" w:eastAsia="Calibri" w:hAnsi="Calibri"/>
                <w:b/>
                <w:bCs/>
                <w:i w:val="false"/>
                <w:iCs w:val="false"/>
                <w:caps w:val="false"/>
                <w:color w:val="1B2130"/>
                <w:sz w:val="21"/>
                <w:szCs w:val="21"/>
              </w:rPr>
              <w:t xml:space="preserve">Publish or withdraw the four blank pages</w:t>
            </w:r>
          </w:p>
        </w:tc>
        <w:tc>
          <w:tcPr>
            <w:tcW w:type="dxa" w:w="4600"/>
            <w:tcBorders>
              <w:top w:val="single" w:color="C9CFDC" w:sz="2"/>
              <w:left w:val="none" w:color="FFFFFF" w:sz="0"/>
              <w:bottom w:val="single" w:color="C9CFDC" w:sz="2"/>
              <w:right w:val="none" w:color="FFFFFF" w:sz="0"/>
            </w:tcBorders>
            <w:tcMar>
              <w:top w:type="dxa" w:w="75"/>
              <w:left w:type="dxa" w:w="125"/>
              <w:bottom w:type="dxa" w:w="75"/>
              <w:right w:type="dxa" w:w="125"/>
            </w:tcMar>
            <w:vAlign w:val="top"/>
          </w:tcPr>
          <w:p>
            <w:pPr>
              <w:spacing w:after="0" w:before="0" w:line="248"/>
            </w:pPr>
            <w:r>
              <w:rPr>
                <w:rFonts w:ascii="Calibri" w:cs="Calibri" w:eastAsia="Calibri" w:hAnsi="Calibri"/>
                <w:b w:val="false"/>
                <w:bCs w:val="false"/>
                <w:i w:val="false"/>
                <w:iCs w:val="false"/>
                <w:caps w:val="false"/>
                <w:color w:val="5F6779"/>
                <w:sz w:val="19"/>
                <w:szCs w:val="19"/>
              </w:rPr>
              <w:t xml:space="preserve">Three Contact pages and one RTI page are live with nothing on them.</w:t>
            </w:r>
          </w:p>
        </w:tc>
        <w:tc>
          <w:tcPr>
            <w:tcW w:type="dxa" w:w="1318"/>
            <w:tcBorders>
              <w:top w:val="single" w:color="C9CFDC" w:sz="2"/>
              <w:left w:val="none" w:color="FFFFFF" w:sz="0"/>
              <w:bottom w:val="single" w:color="C9CFDC" w:sz="2"/>
              <w:right w:val="none" w:color="FFFFFF" w:sz="0"/>
            </w:tcBorders>
            <w:tcMar>
              <w:top w:type="dxa" w:w="75"/>
              <w:left w:type="dxa" w:w="125"/>
              <w:bottom w:type="dxa" w:w="75"/>
              <w:right w:type="dxa" w:w="125"/>
            </w:tcMar>
            <w:vAlign w:val="top"/>
          </w:tcPr>
          <w:p>
            <w:pPr>
              <w:spacing w:after="0" w:before="0" w:line="248"/>
            </w:pPr>
            <w:r>
              <w:rPr>
                <w:rFonts w:ascii="Calibri" w:cs="Calibri" w:eastAsia="Calibri" w:hAnsi="Calibri"/>
                <w:b/>
                <w:bCs/>
                <w:i w:val="false"/>
                <w:iCs w:val="false"/>
                <w:caps w:val="false"/>
                <w:color w:val="8C2B2B"/>
                <w:sz w:val="18"/>
                <w:szCs w:val="18"/>
              </w:rPr>
              <w:t xml:space="preserve">Immediate</w:t>
            </w:r>
          </w:p>
        </w:tc>
      </w:tr>
      <w:tr>
        <w:tc>
          <w:tcPr>
            <w:tcW w:type="dxa" w:w="620"/>
            <w:tcBorders>
              <w:top w:val="single" w:color="C9CFDC" w:sz="2"/>
              <w:left w:val="none" w:color="FFFFFF" w:sz="0"/>
              <w:bottom w:val="single" w:color="C9CFDC" w:sz="2"/>
              <w:right w:val="none" w:color="FFFFFF" w:sz="0"/>
            </w:tcBorders>
            <w:shd w:fill="F7F8FC" w:color="auto" w:val="clear"/>
            <w:tcMar>
              <w:top w:type="dxa" w:w="75"/>
              <w:left w:type="dxa" w:w="125"/>
              <w:bottom w:type="dxa" w:w="75"/>
              <w:right w:type="dxa" w:w="125"/>
            </w:tcMar>
            <w:vAlign w:val="top"/>
          </w:tcPr>
          <w:p>
            <w:pPr>
              <w:spacing w:after="0" w:before="0" w:line="248"/>
              <w:jc w:val="center"/>
            </w:pPr>
            <w:r>
              <w:rPr>
                <w:rFonts w:ascii="Consolas" w:cs="Consolas" w:eastAsia="Consolas" w:hAnsi="Consolas"/>
                <w:b/>
                <w:bCs/>
                <w:i w:val="false"/>
                <w:iCs w:val="false"/>
                <w:caps w:val="false"/>
                <w:color w:val="162F6A"/>
                <w:sz w:val="21"/>
                <w:szCs w:val="21"/>
              </w:rPr>
              <w:t xml:space="preserve">4</w:t>
            </w:r>
          </w:p>
        </w:tc>
        <w:tc>
          <w:tcPr>
            <w:tcW w:type="dxa" w:w="3100"/>
            <w:tcBorders>
              <w:top w:val="single" w:color="C9CFDC" w:sz="2"/>
              <w:left w:val="none" w:color="FFFFFF" w:sz="0"/>
              <w:bottom w:val="single" w:color="C9CFDC" w:sz="2"/>
              <w:right w:val="none" w:color="FFFFFF" w:sz="0"/>
            </w:tcBorders>
            <w:shd w:fill="F7F8FC" w:color="auto" w:val="clear"/>
            <w:tcMar>
              <w:top w:type="dxa" w:w="75"/>
              <w:left w:type="dxa" w:w="125"/>
              <w:bottom w:type="dxa" w:w="75"/>
              <w:right w:type="dxa" w:w="125"/>
            </w:tcMar>
            <w:vAlign w:val="top"/>
          </w:tcPr>
          <w:p>
            <w:pPr>
              <w:spacing w:after="0" w:before="0" w:line="248"/>
            </w:pPr>
            <w:r>
              <w:rPr>
                <w:rFonts w:ascii="Calibri" w:cs="Calibri" w:eastAsia="Calibri" w:hAnsi="Calibri"/>
                <w:b/>
                <w:bCs/>
                <w:i w:val="false"/>
                <w:iCs w:val="false"/>
                <w:caps w:val="false"/>
                <w:color w:val="1B2130"/>
                <w:sz w:val="21"/>
                <w:szCs w:val="21"/>
              </w:rPr>
              <w:t xml:space="preserve">Remove the Directory’s second entry in the menu</w:t>
            </w:r>
          </w:p>
        </w:tc>
        <w:tc>
          <w:tcPr>
            <w:tcW w:type="dxa" w:w="4600"/>
            <w:tcBorders>
              <w:top w:val="single" w:color="C9CFDC" w:sz="2"/>
              <w:left w:val="none" w:color="FFFFFF" w:sz="0"/>
              <w:bottom w:val="single" w:color="C9CFDC" w:sz="2"/>
              <w:right w:val="none" w:color="FFFFFF" w:sz="0"/>
            </w:tcBorders>
            <w:shd w:fill="F7F8FC" w:color="auto" w:val="clear"/>
            <w:tcMar>
              <w:top w:type="dxa" w:w="75"/>
              <w:left w:type="dxa" w:w="125"/>
              <w:bottom w:type="dxa" w:w="75"/>
              <w:right w:type="dxa" w:w="125"/>
            </w:tcMar>
            <w:vAlign w:val="top"/>
          </w:tcPr>
          <w:p>
            <w:pPr>
              <w:spacing w:after="0" w:before="0" w:line="248"/>
            </w:pPr>
            <w:r>
              <w:rPr>
                <w:rFonts w:ascii="Calibri" w:cs="Calibri" w:eastAsia="Calibri" w:hAnsi="Calibri"/>
                <w:b w:val="false"/>
                <w:bCs w:val="false"/>
                <w:i w:val="false"/>
                <w:iCs w:val="false"/>
                <w:caps w:val="false"/>
                <w:color w:val="5F6779"/>
                <w:sz w:val="19"/>
                <w:szCs w:val="19"/>
              </w:rPr>
              <w:t xml:space="preserve">One page listed twice in one menu, plus a third name in the footer. Choose one name and use it everywhere.</w:t>
            </w:r>
          </w:p>
        </w:tc>
        <w:tc>
          <w:tcPr>
            <w:tcW w:type="dxa" w:w="1318"/>
            <w:tcBorders>
              <w:top w:val="single" w:color="C9CFDC" w:sz="2"/>
              <w:left w:val="none" w:color="FFFFFF" w:sz="0"/>
              <w:bottom w:val="single" w:color="C9CFDC" w:sz="2"/>
              <w:right w:val="none" w:color="FFFFFF" w:sz="0"/>
            </w:tcBorders>
            <w:shd w:fill="F7F8FC" w:color="auto" w:val="clear"/>
            <w:tcMar>
              <w:top w:type="dxa" w:w="75"/>
              <w:left w:type="dxa" w:w="125"/>
              <w:bottom w:type="dxa" w:w="75"/>
              <w:right w:type="dxa" w:w="125"/>
            </w:tcMar>
            <w:vAlign w:val="top"/>
          </w:tcPr>
          <w:p>
            <w:pPr>
              <w:spacing w:after="0" w:before="0" w:line="248"/>
            </w:pPr>
            <w:r>
              <w:rPr>
                <w:rFonts w:ascii="Calibri" w:cs="Calibri" w:eastAsia="Calibri" w:hAnsi="Calibri"/>
                <w:b w:val="false"/>
                <w:bCs w:val="false"/>
                <w:i w:val="false"/>
                <w:iCs w:val="false"/>
                <w:caps w:val="false"/>
                <w:color w:val="5F6779"/>
                <w:sz w:val="18"/>
                <w:szCs w:val="18"/>
              </w:rPr>
              <w:t xml:space="preserve">This month</w:t>
            </w:r>
          </w:p>
        </w:tc>
      </w:tr>
      <w:tr>
        <w:tc>
          <w:tcPr>
            <w:tcW w:type="dxa" w:w="620"/>
            <w:tcBorders>
              <w:top w:val="single" w:color="C9CFDC" w:sz="2"/>
              <w:left w:val="none" w:color="FFFFFF" w:sz="0"/>
              <w:bottom w:val="single" w:color="C9CFDC" w:sz="2"/>
              <w:right w:val="none" w:color="FFFFFF" w:sz="0"/>
            </w:tcBorders>
            <w:tcMar>
              <w:top w:type="dxa" w:w="75"/>
              <w:left w:type="dxa" w:w="125"/>
              <w:bottom w:type="dxa" w:w="75"/>
              <w:right w:type="dxa" w:w="125"/>
            </w:tcMar>
            <w:vAlign w:val="top"/>
          </w:tcPr>
          <w:p>
            <w:pPr>
              <w:spacing w:after="0" w:before="0" w:line="248"/>
              <w:jc w:val="center"/>
            </w:pPr>
            <w:r>
              <w:rPr>
                <w:rFonts w:ascii="Consolas" w:cs="Consolas" w:eastAsia="Consolas" w:hAnsi="Consolas"/>
                <w:b/>
                <w:bCs/>
                <w:i w:val="false"/>
                <w:iCs w:val="false"/>
                <w:caps w:val="false"/>
                <w:color w:val="162F6A"/>
                <w:sz w:val="21"/>
                <w:szCs w:val="21"/>
              </w:rPr>
              <w:t xml:space="preserve">5</w:t>
            </w:r>
          </w:p>
        </w:tc>
        <w:tc>
          <w:tcPr>
            <w:tcW w:type="dxa" w:w="3100"/>
            <w:tcBorders>
              <w:top w:val="single" w:color="C9CFDC" w:sz="2"/>
              <w:left w:val="none" w:color="FFFFFF" w:sz="0"/>
              <w:bottom w:val="single" w:color="C9CFDC" w:sz="2"/>
              <w:right w:val="none" w:color="FFFFFF" w:sz="0"/>
            </w:tcBorders>
            <w:tcMar>
              <w:top w:type="dxa" w:w="75"/>
              <w:left w:type="dxa" w:w="125"/>
              <w:bottom w:type="dxa" w:w="75"/>
              <w:right w:type="dxa" w:w="125"/>
            </w:tcMar>
            <w:vAlign w:val="top"/>
          </w:tcPr>
          <w:p>
            <w:pPr>
              <w:spacing w:after="0" w:before="0" w:line="248"/>
            </w:pPr>
            <w:r>
              <w:rPr>
                <w:rFonts w:ascii="Calibri" w:cs="Calibri" w:eastAsia="Calibri" w:hAnsi="Calibri"/>
                <w:b/>
                <w:bCs/>
                <w:i w:val="false"/>
                <w:iCs w:val="false"/>
                <w:caps w:val="false"/>
                <w:color w:val="1B2130"/>
                <w:sz w:val="21"/>
                <w:szCs w:val="21"/>
              </w:rPr>
              <w:t xml:space="preserve">Settle one date format</w:t>
            </w:r>
          </w:p>
        </w:tc>
        <w:tc>
          <w:tcPr>
            <w:tcW w:type="dxa" w:w="4600"/>
            <w:tcBorders>
              <w:top w:val="single" w:color="C9CFDC" w:sz="2"/>
              <w:left w:val="none" w:color="FFFFFF" w:sz="0"/>
              <w:bottom w:val="single" w:color="C9CFDC" w:sz="2"/>
              <w:right w:val="none" w:color="FFFFFF" w:sz="0"/>
            </w:tcBorders>
            <w:tcMar>
              <w:top w:type="dxa" w:w="75"/>
              <w:left w:type="dxa" w:w="125"/>
              <w:bottom w:type="dxa" w:w="75"/>
              <w:right w:type="dxa" w:w="125"/>
            </w:tcMar>
            <w:vAlign w:val="top"/>
          </w:tcPr>
          <w:p>
            <w:pPr>
              <w:spacing w:after="0" w:before="0" w:line="248"/>
            </w:pPr>
            <w:r>
              <w:rPr>
                <w:rFonts w:ascii="Calibri" w:cs="Calibri" w:eastAsia="Calibri" w:hAnsi="Calibri"/>
                <w:b w:val="false"/>
                <w:bCs w:val="false"/>
                <w:i w:val="false"/>
                <w:iCs w:val="false"/>
                <w:caps w:val="false"/>
                <w:color w:val="5F6779"/>
                <w:sz w:val="19"/>
                <w:szCs w:val="19"/>
              </w:rPr>
              <w:t xml:space="preserve">The site already prefers 01 Jan 2026 on every page; four other formats need to follow it.</w:t>
            </w:r>
          </w:p>
        </w:tc>
        <w:tc>
          <w:tcPr>
            <w:tcW w:type="dxa" w:w="1318"/>
            <w:tcBorders>
              <w:top w:val="single" w:color="C9CFDC" w:sz="2"/>
              <w:left w:val="none" w:color="FFFFFF" w:sz="0"/>
              <w:bottom w:val="single" w:color="C9CFDC" w:sz="2"/>
              <w:right w:val="none" w:color="FFFFFF" w:sz="0"/>
            </w:tcBorders>
            <w:tcMar>
              <w:top w:type="dxa" w:w="75"/>
              <w:left w:type="dxa" w:w="125"/>
              <w:bottom w:type="dxa" w:w="75"/>
              <w:right w:type="dxa" w:w="125"/>
            </w:tcMar>
            <w:vAlign w:val="top"/>
          </w:tcPr>
          <w:p>
            <w:pPr>
              <w:spacing w:after="0" w:before="0" w:line="248"/>
            </w:pPr>
            <w:r>
              <w:rPr>
                <w:rFonts w:ascii="Calibri" w:cs="Calibri" w:eastAsia="Calibri" w:hAnsi="Calibri"/>
                <w:b w:val="false"/>
                <w:bCs w:val="false"/>
                <w:i w:val="false"/>
                <w:iCs w:val="false"/>
                <w:caps w:val="false"/>
                <w:color w:val="5F6779"/>
                <w:sz w:val="18"/>
                <w:szCs w:val="18"/>
              </w:rPr>
              <w:t xml:space="preserve">This month</w:t>
            </w:r>
          </w:p>
        </w:tc>
      </w:tr>
      <w:tr>
        <w:tc>
          <w:tcPr>
            <w:tcW w:type="dxa" w:w="620"/>
            <w:tcBorders>
              <w:top w:val="single" w:color="C9CFDC" w:sz="2"/>
              <w:left w:val="none" w:color="FFFFFF" w:sz="0"/>
              <w:bottom w:val="single" w:color="C9CFDC" w:sz="2"/>
              <w:right w:val="none" w:color="FFFFFF" w:sz="0"/>
            </w:tcBorders>
            <w:shd w:fill="F7F8FC" w:color="auto" w:val="clear"/>
            <w:tcMar>
              <w:top w:type="dxa" w:w="75"/>
              <w:left w:type="dxa" w:w="125"/>
              <w:bottom w:type="dxa" w:w="75"/>
              <w:right w:type="dxa" w:w="125"/>
            </w:tcMar>
            <w:vAlign w:val="top"/>
          </w:tcPr>
          <w:p>
            <w:pPr>
              <w:spacing w:after="0" w:before="0" w:line="248"/>
              <w:jc w:val="center"/>
            </w:pPr>
            <w:r>
              <w:rPr>
                <w:rFonts w:ascii="Consolas" w:cs="Consolas" w:eastAsia="Consolas" w:hAnsi="Consolas"/>
                <w:b/>
                <w:bCs/>
                <w:i w:val="false"/>
                <w:iCs w:val="false"/>
                <w:caps w:val="false"/>
                <w:color w:val="162F6A"/>
                <w:sz w:val="21"/>
                <w:szCs w:val="21"/>
              </w:rPr>
              <w:t xml:space="preserve">6</w:t>
            </w:r>
          </w:p>
        </w:tc>
        <w:tc>
          <w:tcPr>
            <w:tcW w:type="dxa" w:w="3100"/>
            <w:tcBorders>
              <w:top w:val="single" w:color="C9CFDC" w:sz="2"/>
              <w:left w:val="none" w:color="FFFFFF" w:sz="0"/>
              <w:bottom w:val="single" w:color="C9CFDC" w:sz="2"/>
              <w:right w:val="none" w:color="FFFFFF" w:sz="0"/>
            </w:tcBorders>
            <w:shd w:fill="F7F8FC" w:color="auto" w:val="clear"/>
            <w:tcMar>
              <w:top w:type="dxa" w:w="75"/>
              <w:left w:type="dxa" w:w="125"/>
              <w:bottom w:type="dxa" w:w="75"/>
              <w:right w:type="dxa" w:w="125"/>
            </w:tcMar>
            <w:vAlign w:val="top"/>
          </w:tcPr>
          <w:p>
            <w:pPr>
              <w:spacing w:after="0" w:before="0" w:line="248"/>
            </w:pPr>
            <w:r>
              <w:rPr>
                <w:rFonts w:ascii="Calibri" w:cs="Calibri" w:eastAsia="Calibri" w:hAnsi="Calibri"/>
                <w:b/>
                <w:bCs/>
                <w:i w:val="false"/>
                <w:iCs w:val="false"/>
                <w:caps w:val="false"/>
                <w:color w:val="1B2130"/>
                <w:sz w:val="21"/>
                <w:szCs w:val="21"/>
              </w:rPr>
              <w:t xml:space="preserve">Agree one heading rule</w:t>
            </w:r>
          </w:p>
        </w:tc>
        <w:tc>
          <w:tcPr>
            <w:tcW w:type="dxa" w:w="4600"/>
            <w:tcBorders>
              <w:top w:val="single" w:color="C9CFDC" w:sz="2"/>
              <w:left w:val="none" w:color="FFFFFF" w:sz="0"/>
              <w:bottom w:val="single" w:color="C9CFDC" w:sz="2"/>
              <w:right w:val="none" w:color="FFFFFF" w:sz="0"/>
            </w:tcBorders>
            <w:shd w:fill="F7F8FC" w:color="auto" w:val="clear"/>
            <w:tcMar>
              <w:top w:type="dxa" w:w="75"/>
              <w:left w:type="dxa" w:w="125"/>
              <w:bottom w:type="dxa" w:w="75"/>
              <w:right w:type="dxa" w:w="125"/>
            </w:tcMar>
            <w:vAlign w:val="top"/>
          </w:tcPr>
          <w:p>
            <w:pPr>
              <w:spacing w:after="0" w:before="0" w:line="248"/>
            </w:pPr>
            <w:r>
              <w:rPr>
                <w:rFonts w:ascii="Calibri" w:cs="Calibri" w:eastAsia="Calibri" w:hAnsi="Calibri"/>
                <w:b w:val="false"/>
                <w:bCs w:val="false"/>
                <w:i w:val="false"/>
                <w:iCs w:val="false"/>
                <w:caps w:val="false"/>
                <w:color w:val="5F6779"/>
                <w:sz w:val="19"/>
                <w:szCs w:val="19"/>
              </w:rPr>
              <w:t xml:space="preserve">One size, one weight, one colour, Title Case, and the heading level matching the size. Then apply it to the Directory’s 22 headings first, since they diverge most.</w:t>
            </w:r>
          </w:p>
        </w:tc>
        <w:tc>
          <w:tcPr>
            <w:tcW w:type="dxa" w:w="1318"/>
            <w:tcBorders>
              <w:top w:val="single" w:color="C9CFDC" w:sz="2"/>
              <w:left w:val="none" w:color="FFFFFF" w:sz="0"/>
              <w:bottom w:val="single" w:color="C9CFDC" w:sz="2"/>
              <w:right w:val="none" w:color="FFFFFF" w:sz="0"/>
            </w:tcBorders>
            <w:shd w:fill="F7F8FC" w:color="auto" w:val="clear"/>
            <w:tcMar>
              <w:top w:type="dxa" w:w="75"/>
              <w:left w:type="dxa" w:w="125"/>
              <w:bottom w:type="dxa" w:w="75"/>
              <w:right w:type="dxa" w:w="125"/>
            </w:tcMar>
            <w:vAlign w:val="top"/>
          </w:tcPr>
          <w:p>
            <w:pPr>
              <w:spacing w:after="0" w:before="0" w:line="248"/>
            </w:pPr>
            <w:r>
              <w:rPr>
                <w:rFonts w:ascii="Calibri" w:cs="Calibri" w:eastAsia="Calibri" w:hAnsi="Calibri"/>
                <w:b w:val="false"/>
                <w:bCs w:val="false"/>
                <w:i w:val="false"/>
                <w:iCs w:val="false"/>
                <w:caps w:val="false"/>
                <w:color w:val="5F6779"/>
                <w:sz w:val="18"/>
                <w:szCs w:val="18"/>
              </w:rPr>
              <w:t xml:space="preserve">This month</w:t>
            </w:r>
          </w:p>
        </w:tc>
      </w:tr>
      <w:tr>
        <w:tc>
          <w:tcPr>
            <w:tcW w:type="dxa" w:w="620"/>
            <w:tcBorders>
              <w:top w:val="single" w:color="C9CFDC" w:sz="2"/>
              <w:left w:val="none" w:color="FFFFFF" w:sz="0"/>
              <w:bottom w:val="single" w:color="C9CFDC" w:sz="2"/>
              <w:right w:val="none" w:color="FFFFFF" w:sz="0"/>
            </w:tcBorders>
            <w:tcMar>
              <w:top w:type="dxa" w:w="75"/>
              <w:left w:type="dxa" w:w="125"/>
              <w:bottom w:type="dxa" w:w="75"/>
              <w:right w:type="dxa" w:w="125"/>
            </w:tcMar>
            <w:vAlign w:val="top"/>
          </w:tcPr>
          <w:p>
            <w:pPr>
              <w:spacing w:after="0" w:before="0" w:line="248"/>
              <w:jc w:val="center"/>
            </w:pPr>
            <w:r>
              <w:rPr>
                <w:rFonts w:ascii="Consolas" w:cs="Consolas" w:eastAsia="Consolas" w:hAnsi="Consolas"/>
                <w:b/>
                <w:bCs/>
                <w:i w:val="false"/>
                <w:iCs w:val="false"/>
                <w:caps w:val="false"/>
                <w:color w:val="162F6A"/>
                <w:sz w:val="21"/>
                <w:szCs w:val="21"/>
              </w:rPr>
              <w:t xml:space="preserve">7</w:t>
            </w:r>
          </w:p>
        </w:tc>
        <w:tc>
          <w:tcPr>
            <w:tcW w:type="dxa" w:w="3100"/>
            <w:tcBorders>
              <w:top w:val="single" w:color="C9CFDC" w:sz="2"/>
              <w:left w:val="none" w:color="FFFFFF" w:sz="0"/>
              <w:bottom w:val="single" w:color="C9CFDC" w:sz="2"/>
              <w:right w:val="none" w:color="FFFFFF" w:sz="0"/>
            </w:tcBorders>
            <w:tcMar>
              <w:top w:type="dxa" w:w="75"/>
              <w:left w:type="dxa" w:w="125"/>
              <w:bottom w:type="dxa" w:w="75"/>
              <w:right w:type="dxa" w:w="125"/>
            </w:tcMar>
            <w:vAlign w:val="top"/>
          </w:tcPr>
          <w:p>
            <w:pPr>
              <w:spacing w:after="0" w:before="0" w:line="248"/>
            </w:pPr>
            <w:r>
              <w:rPr>
                <w:rFonts w:ascii="Calibri" w:cs="Calibri" w:eastAsia="Calibri" w:hAnsi="Calibri"/>
                <w:b/>
                <w:bCs/>
                <w:i w:val="false"/>
                <w:iCs w:val="false"/>
                <w:caps w:val="false"/>
                <w:color w:val="1B2130"/>
                <w:sz w:val="21"/>
                <w:szCs w:val="21"/>
              </w:rPr>
              <w:t xml:space="preserve">Agree one button</w:t>
            </w:r>
          </w:p>
        </w:tc>
        <w:tc>
          <w:tcPr>
            <w:tcW w:type="dxa" w:w="4600"/>
            <w:tcBorders>
              <w:top w:val="single" w:color="C9CFDC" w:sz="2"/>
              <w:left w:val="none" w:color="FFFFFF" w:sz="0"/>
              <w:bottom w:val="single" w:color="C9CFDC" w:sz="2"/>
              <w:right w:val="none" w:color="FFFFFF" w:sz="0"/>
            </w:tcBorders>
            <w:tcMar>
              <w:top w:type="dxa" w:w="75"/>
              <w:left w:type="dxa" w:w="125"/>
              <w:bottom w:type="dxa" w:w="75"/>
              <w:right w:type="dxa" w:w="125"/>
            </w:tcMar>
            <w:vAlign w:val="top"/>
          </w:tcPr>
          <w:p>
            <w:pPr>
              <w:spacing w:after="0" w:before="0" w:line="248"/>
            </w:pPr>
            <w:r>
              <w:rPr>
                <w:rFonts w:ascii="Calibri" w:cs="Calibri" w:eastAsia="Calibri" w:hAnsi="Calibri"/>
                <w:b w:val="false"/>
                <w:bCs w:val="false"/>
                <w:i w:val="false"/>
                <w:iCs w:val="false"/>
                <w:caps w:val="false"/>
                <w:color w:val="5F6779"/>
                <w:sz w:val="19"/>
                <w:szCs w:val="19"/>
              </w:rPr>
              <w:t xml:space="preserve">One corner radius, one padding, one size — and one appearance for “Admin Login”.</w:t>
            </w:r>
          </w:p>
        </w:tc>
        <w:tc>
          <w:tcPr>
            <w:tcW w:type="dxa" w:w="1318"/>
            <w:tcBorders>
              <w:top w:val="single" w:color="C9CFDC" w:sz="2"/>
              <w:left w:val="none" w:color="FFFFFF" w:sz="0"/>
              <w:bottom w:val="single" w:color="C9CFDC" w:sz="2"/>
              <w:right w:val="none" w:color="FFFFFF" w:sz="0"/>
            </w:tcBorders>
            <w:tcMar>
              <w:top w:type="dxa" w:w="75"/>
              <w:left w:type="dxa" w:w="125"/>
              <w:bottom w:type="dxa" w:w="75"/>
              <w:right w:type="dxa" w:w="125"/>
            </w:tcMar>
            <w:vAlign w:val="top"/>
          </w:tcPr>
          <w:p>
            <w:pPr>
              <w:spacing w:after="0" w:before="0" w:line="248"/>
            </w:pPr>
            <w:r>
              <w:rPr>
                <w:rFonts w:ascii="Calibri" w:cs="Calibri" w:eastAsia="Calibri" w:hAnsi="Calibri"/>
                <w:b w:val="false"/>
                <w:bCs w:val="false"/>
                <w:i w:val="false"/>
                <w:iCs w:val="false"/>
                <w:caps w:val="false"/>
                <w:color w:val="5F6779"/>
                <w:sz w:val="18"/>
                <w:szCs w:val="18"/>
              </w:rPr>
              <w:t xml:space="preserve">This month</w:t>
            </w:r>
          </w:p>
        </w:tc>
      </w:tr>
      <w:tr>
        <w:tc>
          <w:tcPr>
            <w:tcW w:type="dxa" w:w="620"/>
            <w:tcBorders>
              <w:top w:val="single" w:color="C9CFDC" w:sz="2"/>
              <w:left w:val="none" w:color="FFFFFF" w:sz="0"/>
              <w:bottom w:val="single" w:color="C9CFDC" w:sz="2"/>
              <w:right w:val="none" w:color="FFFFFF" w:sz="0"/>
            </w:tcBorders>
            <w:shd w:fill="F7F8FC" w:color="auto" w:val="clear"/>
            <w:tcMar>
              <w:top w:type="dxa" w:w="75"/>
              <w:left w:type="dxa" w:w="125"/>
              <w:bottom w:type="dxa" w:w="75"/>
              <w:right w:type="dxa" w:w="125"/>
            </w:tcMar>
            <w:vAlign w:val="top"/>
          </w:tcPr>
          <w:p>
            <w:pPr>
              <w:spacing w:after="0" w:before="0" w:line="248"/>
              <w:jc w:val="center"/>
            </w:pPr>
            <w:r>
              <w:rPr>
                <w:rFonts w:ascii="Consolas" w:cs="Consolas" w:eastAsia="Consolas" w:hAnsi="Consolas"/>
                <w:b/>
                <w:bCs/>
                <w:i w:val="false"/>
                <w:iCs w:val="false"/>
                <w:caps w:val="false"/>
                <w:color w:val="162F6A"/>
                <w:sz w:val="21"/>
                <w:szCs w:val="21"/>
              </w:rPr>
              <w:t xml:space="preserve">8</w:t>
            </w:r>
          </w:p>
        </w:tc>
        <w:tc>
          <w:tcPr>
            <w:tcW w:type="dxa" w:w="3100"/>
            <w:tcBorders>
              <w:top w:val="single" w:color="C9CFDC" w:sz="2"/>
              <w:left w:val="none" w:color="FFFFFF" w:sz="0"/>
              <w:bottom w:val="single" w:color="C9CFDC" w:sz="2"/>
              <w:right w:val="none" w:color="FFFFFF" w:sz="0"/>
            </w:tcBorders>
            <w:shd w:fill="F7F8FC" w:color="auto" w:val="clear"/>
            <w:tcMar>
              <w:top w:type="dxa" w:w="75"/>
              <w:left w:type="dxa" w:w="125"/>
              <w:bottom w:type="dxa" w:w="75"/>
              <w:right w:type="dxa" w:w="125"/>
            </w:tcMar>
            <w:vAlign w:val="top"/>
          </w:tcPr>
          <w:p>
            <w:pPr>
              <w:spacing w:after="0" w:before="0" w:line="248"/>
            </w:pPr>
            <w:r>
              <w:rPr>
                <w:rFonts w:ascii="Calibri" w:cs="Calibri" w:eastAsia="Calibri" w:hAnsi="Calibri"/>
                <w:b/>
                <w:bCs/>
                <w:i w:val="false"/>
                <w:iCs w:val="false"/>
                <w:caps w:val="false"/>
                <w:color w:val="1B2130"/>
                <w:sz w:val="21"/>
                <w:szCs w:val="21"/>
              </w:rPr>
              <w:t xml:space="preserve">Reduce the palette to a stated set</w:t>
            </w:r>
          </w:p>
        </w:tc>
        <w:tc>
          <w:tcPr>
            <w:tcW w:type="dxa" w:w="4600"/>
            <w:tcBorders>
              <w:top w:val="single" w:color="C9CFDC" w:sz="2"/>
              <w:left w:val="none" w:color="FFFFFF" w:sz="0"/>
              <w:bottom w:val="single" w:color="C9CFDC" w:sz="2"/>
              <w:right w:val="none" w:color="FFFFFF" w:sz="0"/>
            </w:tcBorders>
            <w:shd w:fill="F7F8FC" w:color="auto" w:val="clear"/>
            <w:tcMar>
              <w:top w:type="dxa" w:w="75"/>
              <w:left w:type="dxa" w:w="125"/>
              <w:bottom w:type="dxa" w:w="75"/>
              <w:right w:type="dxa" w:w="125"/>
            </w:tcMar>
            <w:vAlign w:val="top"/>
          </w:tcPr>
          <w:p>
            <w:pPr>
              <w:spacing w:after="0" w:before="0" w:line="248"/>
            </w:pPr>
            <w:r>
              <w:rPr>
                <w:rFonts w:ascii="Calibri" w:cs="Calibri" w:eastAsia="Calibri" w:hAnsi="Calibri"/>
                <w:b w:val="false"/>
                <w:bCs w:val="false"/>
                <w:i w:val="false"/>
                <w:iCs w:val="false"/>
                <w:caps w:val="false"/>
                <w:color w:val="5F6779"/>
                <w:sz w:val="19"/>
                <w:szCs w:val="19"/>
              </w:rPr>
              <w:t xml:space="preserve">Seven blues to one, eight body greys to two, four greens to one, and remove the violet and magenta.</w:t>
            </w:r>
          </w:p>
        </w:tc>
        <w:tc>
          <w:tcPr>
            <w:tcW w:type="dxa" w:w="1318"/>
            <w:tcBorders>
              <w:top w:val="single" w:color="C9CFDC" w:sz="2"/>
              <w:left w:val="none" w:color="FFFFFF" w:sz="0"/>
              <w:bottom w:val="single" w:color="C9CFDC" w:sz="2"/>
              <w:right w:val="none" w:color="FFFFFF" w:sz="0"/>
            </w:tcBorders>
            <w:shd w:fill="F7F8FC" w:color="auto" w:val="clear"/>
            <w:tcMar>
              <w:top w:type="dxa" w:w="75"/>
              <w:left w:type="dxa" w:w="125"/>
              <w:bottom w:type="dxa" w:w="75"/>
              <w:right w:type="dxa" w:w="125"/>
            </w:tcMar>
            <w:vAlign w:val="top"/>
          </w:tcPr>
          <w:p>
            <w:pPr>
              <w:spacing w:after="0" w:before="0" w:line="248"/>
            </w:pPr>
            <w:r>
              <w:rPr>
                <w:rFonts w:ascii="Calibri" w:cs="Calibri" w:eastAsia="Calibri" w:hAnsi="Calibri"/>
                <w:b w:val="false"/>
                <w:bCs w:val="false"/>
                <w:i w:val="false"/>
                <w:iCs w:val="false"/>
                <w:caps w:val="false"/>
                <w:color w:val="5F6779"/>
                <w:sz w:val="18"/>
                <w:szCs w:val="18"/>
              </w:rPr>
              <w:t xml:space="preserve">Next quarter</w:t>
            </w:r>
          </w:p>
        </w:tc>
      </w:tr>
      <w:tr>
        <w:tc>
          <w:tcPr>
            <w:tcW w:type="dxa" w:w="620"/>
            <w:tcBorders>
              <w:top w:val="single" w:color="C9CFDC" w:sz="2"/>
              <w:left w:val="none" w:color="FFFFFF" w:sz="0"/>
              <w:bottom w:val="single" w:color="C9CFDC" w:sz="2"/>
              <w:right w:val="none" w:color="FFFFFF" w:sz="0"/>
            </w:tcBorders>
            <w:tcMar>
              <w:top w:type="dxa" w:w="75"/>
              <w:left w:type="dxa" w:w="125"/>
              <w:bottom w:type="dxa" w:w="75"/>
              <w:right w:type="dxa" w:w="125"/>
            </w:tcMar>
            <w:vAlign w:val="top"/>
          </w:tcPr>
          <w:p>
            <w:pPr>
              <w:spacing w:after="0" w:before="0" w:line="248"/>
              <w:jc w:val="center"/>
            </w:pPr>
            <w:r>
              <w:rPr>
                <w:rFonts w:ascii="Consolas" w:cs="Consolas" w:eastAsia="Consolas" w:hAnsi="Consolas"/>
                <w:b/>
                <w:bCs/>
                <w:i w:val="false"/>
                <w:iCs w:val="false"/>
                <w:caps w:val="false"/>
                <w:color w:val="162F6A"/>
                <w:sz w:val="21"/>
                <w:szCs w:val="21"/>
              </w:rPr>
              <w:t xml:space="preserve">9</w:t>
            </w:r>
          </w:p>
        </w:tc>
        <w:tc>
          <w:tcPr>
            <w:tcW w:type="dxa" w:w="3100"/>
            <w:tcBorders>
              <w:top w:val="single" w:color="C9CFDC" w:sz="2"/>
              <w:left w:val="none" w:color="FFFFFF" w:sz="0"/>
              <w:bottom w:val="single" w:color="C9CFDC" w:sz="2"/>
              <w:right w:val="none" w:color="FFFFFF" w:sz="0"/>
            </w:tcBorders>
            <w:tcMar>
              <w:top w:type="dxa" w:w="75"/>
              <w:left w:type="dxa" w:w="125"/>
              <w:bottom w:type="dxa" w:w="75"/>
              <w:right w:type="dxa" w:w="125"/>
            </w:tcMar>
            <w:vAlign w:val="top"/>
          </w:tcPr>
          <w:p>
            <w:pPr>
              <w:spacing w:after="0" w:before="0" w:line="248"/>
            </w:pPr>
            <w:r>
              <w:rPr>
                <w:rFonts w:ascii="Calibri" w:cs="Calibri" w:eastAsia="Calibri" w:hAnsi="Calibri"/>
                <w:b/>
                <w:bCs/>
                <w:i w:val="false"/>
                <w:iCs w:val="false"/>
                <w:caps w:val="false"/>
                <w:color w:val="1B2130"/>
                <w:sz w:val="21"/>
                <w:szCs w:val="21"/>
              </w:rPr>
              <w:t xml:space="preserve">Replace the seventeen text sizes with a scale</w:t>
            </w:r>
          </w:p>
        </w:tc>
        <w:tc>
          <w:tcPr>
            <w:tcW w:type="dxa" w:w="4600"/>
            <w:tcBorders>
              <w:top w:val="single" w:color="C9CFDC" w:sz="2"/>
              <w:left w:val="none" w:color="FFFFFF" w:sz="0"/>
              <w:bottom w:val="single" w:color="C9CFDC" w:sz="2"/>
              <w:right w:val="none" w:color="FFFFFF" w:sz="0"/>
            </w:tcBorders>
            <w:tcMar>
              <w:top w:type="dxa" w:w="75"/>
              <w:left w:type="dxa" w:w="125"/>
              <w:bottom w:type="dxa" w:w="75"/>
              <w:right w:type="dxa" w:w="125"/>
            </w:tcMar>
            <w:vAlign w:val="top"/>
          </w:tcPr>
          <w:p>
            <w:pPr>
              <w:spacing w:after="0" w:before="0" w:line="248"/>
            </w:pPr>
            <w:r>
              <w:rPr>
                <w:rFonts w:ascii="Calibri" w:cs="Calibri" w:eastAsia="Calibri" w:hAnsi="Calibri"/>
                <w:b w:val="false"/>
                <w:bCs w:val="false"/>
                <w:i w:val="false"/>
                <w:iCs w:val="false"/>
                <w:caps w:val="false"/>
                <w:color w:val="5F6779"/>
                <w:sz w:val="19"/>
                <w:szCs w:val="19"/>
              </w:rPr>
              <w:t xml:space="preserve">Six or seven sizes in one unit will cover every page on the site.</w:t>
            </w:r>
          </w:p>
        </w:tc>
        <w:tc>
          <w:tcPr>
            <w:tcW w:type="dxa" w:w="1318"/>
            <w:tcBorders>
              <w:top w:val="single" w:color="C9CFDC" w:sz="2"/>
              <w:left w:val="none" w:color="FFFFFF" w:sz="0"/>
              <w:bottom w:val="single" w:color="C9CFDC" w:sz="2"/>
              <w:right w:val="none" w:color="FFFFFF" w:sz="0"/>
            </w:tcBorders>
            <w:tcMar>
              <w:top w:type="dxa" w:w="75"/>
              <w:left w:type="dxa" w:w="125"/>
              <w:bottom w:type="dxa" w:w="75"/>
              <w:right w:type="dxa" w:w="125"/>
            </w:tcMar>
            <w:vAlign w:val="top"/>
          </w:tcPr>
          <w:p>
            <w:pPr>
              <w:spacing w:after="0" w:before="0" w:line="248"/>
            </w:pPr>
            <w:r>
              <w:rPr>
                <w:rFonts w:ascii="Calibri" w:cs="Calibri" w:eastAsia="Calibri" w:hAnsi="Calibri"/>
                <w:b w:val="false"/>
                <w:bCs w:val="false"/>
                <w:i w:val="false"/>
                <w:iCs w:val="false"/>
                <w:caps w:val="false"/>
                <w:color w:val="5F6779"/>
                <w:sz w:val="18"/>
                <w:szCs w:val="18"/>
              </w:rPr>
              <w:t xml:space="preserve">Next quarter</w:t>
            </w:r>
          </w:p>
        </w:tc>
      </w:tr>
      <w:tr>
        <w:tc>
          <w:tcPr>
            <w:tcW w:type="dxa" w:w="620"/>
            <w:tcBorders>
              <w:top w:val="single" w:color="C9CFDC" w:sz="2"/>
              <w:left w:val="none" w:color="FFFFFF" w:sz="0"/>
              <w:bottom w:val="single" w:color="C9CFDC" w:sz="2"/>
              <w:right w:val="none" w:color="FFFFFF" w:sz="0"/>
            </w:tcBorders>
            <w:shd w:fill="F7F8FC" w:color="auto" w:val="clear"/>
            <w:tcMar>
              <w:top w:type="dxa" w:w="75"/>
              <w:left w:type="dxa" w:w="125"/>
              <w:bottom w:type="dxa" w:w="75"/>
              <w:right w:type="dxa" w:w="125"/>
            </w:tcMar>
            <w:vAlign w:val="top"/>
          </w:tcPr>
          <w:p>
            <w:pPr>
              <w:spacing w:after="0" w:before="0" w:line="248"/>
              <w:jc w:val="center"/>
            </w:pPr>
            <w:r>
              <w:rPr>
                <w:rFonts w:ascii="Consolas" w:cs="Consolas" w:eastAsia="Consolas" w:hAnsi="Consolas"/>
                <w:b/>
                <w:bCs/>
                <w:i w:val="false"/>
                <w:iCs w:val="false"/>
                <w:caps w:val="false"/>
                <w:color w:val="162F6A"/>
                <w:sz w:val="21"/>
                <w:szCs w:val="21"/>
              </w:rPr>
              <w:t xml:space="preserve">10</w:t>
            </w:r>
          </w:p>
        </w:tc>
        <w:tc>
          <w:tcPr>
            <w:tcW w:type="dxa" w:w="3100"/>
            <w:tcBorders>
              <w:top w:val="single" w:color="C9CFDC" w:sz="2"/>
              <w:left w:val="none" w:color="FFFFFF" w:sz="0"/>
              <w:bottom w:val="single" w:color="C9CFDC" w:sz="2"/>
              <w:right w:val="none" w:color="FFFFFF" w:sz="0"/>
            </w:tcBorders>
            <w:shd w:fill="F7F8FC" w:color="auto" w:val="clear"/>
            <w:tcMar>
              <w:top w:type="dxa" w:w="75"/>
              <w:left w:type="dxa" w:w="125"/>
              <w:bottom w:type="dxa" w:w="75"/>
              <w:right w:type="dxa" w:w="125"/>
            </w:tcMar>
            <w:vAlign w:val="top"/>
          </w:tcPr>
          <w:p>
            <w:pPr>
              <w:spacing w:after="0" w:before="0" w:line="248"/>
            </w:pPr>
            <w:r>
              <w:rPr>
                <w:rFonts w:ascii="Calibri" w:cs="Calibri" w:eastAsia="Calibri" w:hAnsi="Calibri"/>
                <w:b/>
                <w:bCs/>
                <w:i w:val="false"/>
                <w:iCs w:val="false"/>
                <w:caps w:val="false"/>
                <w:color w:val="1B2130"/>
                <w:sz w:val="21"/>
                <w:szCs w:val="21"/>
              </w:rPr>
              <w:t xml:space="preserve">Even out the organisation logo strip</w:t>
            </w:r>
          </w:p>
        </w:tc>
        <w:tc>
          <w:tcPr>
            <w:tcW w:type="dxa" w:w="4600"/>
            <w:tcBorders>
              <w:top w:val="single" w:color="C9CFDC" w:sz="2"/>
              <w:left w:val="none" w:color="FFFFFF" w:sz="0"/>
              <w:bottom w:val="single" w:color="C9CFDC" w:sz="2"/>
              <w:right w:val="none" w:color="FFFFFF" w:sz="0"/>
            </w:tcBorders>
            <w:shd w:fill="F7F8FC" w:color="auto" w:val="clear"/>
            <w:tcMar>
              <w:top w:type="dxa" w:w="75"/>
              <w:left w:type="dxa" w:w="125"/>
              <w:bottom w:type="dxa" w:w="75"/>
              <w:right w:type="dxa" w:w="125"/>
            </w:tcMar>
            <w:vAlign w:val="top"/>
          </w:tcPr>
          <w:p>
            <w:pPr>
              <w:spacing w:after="0" w:before="0" w:line="248"/>
            </w:pPr>
            <w:r>
              <w:rPr>
                <w:rFonts w:ascii="Calibri" w:cs="Calibri" w:eastAsia="Calibri" w:hAnsi="Calibri"/>
                <w:b w:val="false"/>
                <w:bCs w:val="false"/>
                <w:i w:val="false"/>
                <w:iCs w:val="false"/>
                <w:caps w:val="false"/>
                <w:color w:val="5F6779"/>
                <w:sz w:val="19"/>
                <w:szCs w:val="19"/>
              </w:rPr>
              <w:t xml:space="preserve">One background treatment, one optical size, and a proper mark for e-Anudaan.</w:t>
            </w:r>
          </w:p>
        </w:tc>
        <w:tc>
          <w:tcPr>
            <w:tcW w:type="dxa" w:w="1318"/>
            <w:tcBorders>
              <w:top w:val="single" w:color="C9CFDC" w:sz="2"/>
              <w:left w:val="none" w:color="FFFFFF" w:sz="0"/>
              <w:bottom w:val="single" w:color="C9CFDC" w:sz="2"/>
              <w:right w:val="none" w:color="FFFFFF" w:sz="0"/>
            </w:tcBorders>
            <w:shd w:fill="F7F8FC" w:color="auto" w:val="clear"/>
            <w:tcMar>
              <w:top w:type="dxa" w:w="75"/>
              <w:left w:type="dxa" w:w="125"/>
              <w:bottom w:type="dxa" w:w="75"/>
              <w:right w:type="dxa" w:w="125"/>
            </w:tcMar>
            <w:vAlign w:val="top"/>
          </w:tcPr>
          <w:p>
            <w:pPr>
              <w:spacing w:after="0" w:before="0" w:line="248"/>
            </w:pPr>
            <w:r>
              <w:rPr>
                <w:rFonts w:ascii="Calibri" w:cs="Calibri" w:eastAsia="Calibri" w:hAnsi="Calibri"/>
                <w:b w:val="false"/>
                <w:bCs w:val="false"/>
                <w:i w:val="false"/>
                <w:iCs w:val="false"/>
                <w:caps w:val="false"/>
                <w:color w:val="5F6779"/>
                <w:sz w:val="18"/>
                <w:szCs w:val="18"/>
              </w:rPr>
              <w:t xml:space="preserve">Next quarter</w:t>
            </w:r>
          </w:p>
        </w:tc>
      </w:tr>
    </w:tbl>
    <w:p>
      <w:pPr>
        <w:spacing w:after="140" w:before="0" w:line="276"/>
      </w:pPr>
      <w:r>
        <w:rPr>
          <w:rFonts w:ascii="Calibri" w:cs="Calibri" w:eastAsia="Calibri" w:hAnsi="Calibri"/>
          <w:b w:val="false"/>
          <w:bCs w:val="false"/>
          <w:i w:val="false"/>
          <w:iCs w:val="false"/>
          <w:caps w:val="false"/>
          <w:color w:val="333A48"/>
          <w:sz w:val="21"/>
          <w:szCs w:val="21"/>
        </w:rPr>
        <w:t xml:space="preserve">Items 6 to 10 are one decision each. Once taken, they are written down as the site’s standard and every new page follows them without further discussion — which is the only way a site with twenty-one editors stays consistent.</w:t>
      </w:r>
    </w:p>
    <w:p>
      <w:pPr>
        <w:keepNext/>
        <w:spacing w:after="110" w:before="340" w:line="276"/>
      </w:pPr>
      <w:r>
        <w:rPr>
          <w:rFonts w:ascii="Georgia" w:cs="Georgia" w:eastAsia="Georgia" w:hAnsi="Georgia"/>
          <w:b/>
          <w:bCs/>
          <w:i w:val="false"/>
          <w:iCs w:val="false"/>
          <w:caps w:val="false"/>
          <w:color w:val="162F6A"/>
          <w:sz w:val="30"/>
          <w:szCs w:val="30"/>
        </w:rPr>
        <w:t xml:space="preserve">Basis of This Audit</w:t>
      </w:r>
    </w:p>
    <w:p>
      <w:pPr>
        <w:spacing w:after="140" w:before="0" w:line="276"/>
      </w:pPr>
      <w:r>
        <w:rPr>
          <w:rFonts w:ascii="Calibri" w:cs="Calibri" w:eastAsia="Calibri" w:hAnsi="Calibri"/>
          <w:b w:val="false"/>
          <w:bCs w:val="false"/>
          <w:i w:val="false"/>
          <w:iCs w:val="false"/>
          <w:caps w:val="false"/>
          <w:color w:val="333A48"/>
          <w:sz w:val="21"/>
          <w:szCs w:val="21"/>
        </w:rPr>
        <w:t xml:space="preserve">Fifty-two organisation pages of the About Us, Contact, FAQ and RTI families, downloaded in full and compared with one another. Twenty-two further pages covering every page type on the site — the home page, About Us, Who’s Who, the Directory, Contact Us, Schemes &amp; Services, Annual Reports, Tenders, Vacancies, Notices, Publications, Events, Gallery, RTI, CPIO, the statistics dashboard, the sitemap, the privacy policy, a telephone directory, two organisation pages and a division page. Rendered values read directly from the browser on the home page, the Dr. Ambedkar Foundation page and the Ministry Directory. All on 7 September 2026.</w:t>
      </w:r>
    </w:p>
    <w:sectPr>
      <w:headerReference w:type="default" r:id="rId7"/>
      <w:footerReference w:type="default" r:id="rId8"/>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80"/>
      <w:jc w:val="center"/>
    </w:pPr>
    <w:r>
      <w:rPr>
        <w:rFonts w:ascii="Calibri" w:cs="Calibri" w:eastAsia="Calibri" w:hAnsi="Calibri"/>
        <w:color w:val="5F6779"/>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FDC" w:sz="4"/>
      </w:pBdr>
      <w:spacing w:after="40" w:before="0" w:line="276"/>
    </w:pPr>
    <w:r>
      <w:rPr>
        <w:rFonts w:ascii="Calibri" w:cs="Calibri" w:eastAsia="Calibri" w:hAnsi="Calibri"/>
        <w:b w:val="false"/>
        <w:bCs w:val="false"/>
        <w:i w:val="false"/>
        <w:iCs w:val="false"/>
        <w:caps w:val="false"/>
        <w:color w:val="5F6779"/>
        <w:sz w:val="15"/>
        <w:szCs w:val="15"/>
      </w:rPr>
      <w:t xml:space="preserve">Repeated Content and Design Inconsistencies  ·  www.dosje.gov.in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A48"/>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Repeated Content and Design Inconsistencies Across the Website</dc:title>
  <dc:creator>Department of Social Justice &amp; Empowerment</dc:creator>
  <cp:lastModifiedBy>Un-named</cp:lastModifiedBy>
  <cp:revision>1</cp:revision>
  <dcterms:created xsi:type="dcterms:W3CDTF">2026-09-07T08:11:27.433Z</dcterms:created>
  <dcterms:modified xsi:type="dcterms:W3CDTF">2026-09-07T08:11:27.434Z</dcterms:modified>
</cp:coreProperties>
</file>

<file path=docProps/custom.xml><?xml version="1.0" encoding="utf-8"?>
<Properties xmlns="http://schemas.openxmlformats.org/officeDocument/2006/custom-properties" xmlns:vt="http://schemas.openxmlformats.org/officeDocument/2006/docPropsVTypes"/>
</file>