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after="80"/>
        <w:jc w:val="center"/>
      </w:pPr>
      <w:r>
        <w:rPr>
          <w:b/>
          <w:bCs/>
          <w:color w:val="1F3864"/>
          <w:sz w:val="40"/>
          <w:szCs w:val="40"/>
        </w:rPr>
        <w:t xml:space="preserve">BUSINESS REQUIREMENTS DOCUMENT</w:t>
      </w:r>
    </w:p>
    <w:p>
      <w:pPr>
        <w:spacing w:after="60"/>
        <w:jc w:val="center"/>
      </w:pPr>
      <w:r>
        <w:rPr>
          <w:b/>
          <w:bCs/>
          <w:color w:val="2E75B6"/>
          <w:sz w:val="28"/>
          <w:szCs w:val="28"/>
        </w:rPr>
        <w:t xml:space="preserve">SHRESHTA – Mode 1 (E-Anudaan SAMAVESH Portal)</w:t>
      </w:r>
    </w:p>
    <w:p>
      <w:pPr>
        <w:spacing w:after="360"/>
        <w:jc w:val="center"/>
      </w:pPr>
      <w:r>
        <w:rPr>
          <w:i/>
          <w:iCs/>
          <w:color w:val="595959"/>
          <w:sz w:val="22"/>
          <w:szCs w:val="22"/>
        </w:rPr>
        <w:t xml:space="preserve">Scheme for Residential Education for Students in High Schools in Targeted Areas</w:t>
      </w:r>
    </w:p>
    <w:p>
      <w:pPr>
        <w:pBdr>
          <w:bottom w:val="single" w:color="2E75B6" w:sz="6" w:space="6"/>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Field</w:t>
            </w:r>
          </w:p>
        </w:tc>
        <w:tc>
          <w:tcPr>
            <w:tcW w:type="dxa" w:w="6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Detail</w:t>
            </w:r>
          </w:p>
        </w:tc>
      </w:tr>
      <w:tr>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Document Title</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Requirements Document – SHRESHTA Mode 1 Platform</w:t>
            </w:r>
          </w:p>
        </w:tc>
      </w:tr>
      <w:tr>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Document Version</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0.2 (Draft for Review)</w:t>
            </w:r>
          </w:p>
        </w:tc>
      </w:tr>
      <w:tr>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Date</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23 June 2026</w:t>
            </w:r>
          </w:p>
        </w:tc>
      </w:tr>
      <w:tr>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Status</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Draft – pending stakeholder confirmation</w:t>
            </w:r>
          </w:p>
        </w:tc>
      </w:tr>
      <w:tr>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Classification</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Internal / Official Use</w:t>
            </w:r>
          </w:p>
        </w:tc>
      </w:tr>
    </w:tbl>
    <w:p>
      <w:r>
        <w:br w:type="page"/>
      </w:r>
    </w:p>
    <w:p>
      <w:pPr>
        <w:pStyle w:val="Heading1"/>
      </w:pPr>
      <w:r>
        <w:t xml:space="preserve">Document Control</w:t>
      </w: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200"/>
        <w:gridCol w:w="4760"/>
      </w:tblGrid>
      <w:tr>
        <w:trPr>
          <w:tblHeader/>
        </w:trPr>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Version</w:t>
            </w:r>
          </w:p>
        </w:tc>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Date</w:t>
            </w:r>
          </w:p>
        </w:tc>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Author</w:t>
            </w:r>
          </w:p>
        </w:tc>
        <w:tc>
          <w:tcPr>
            <w:tcW w:type="dxa" w:w="47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Description of Change</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0.1</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19 Jun 2026</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Analysis Team</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Initial draft prepared from requirement gathering session notes.</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0.2</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23 Jun 2026</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Analysis Team</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Incorporated review comments: (i) the NETS examination roll number is adopted as the unique student code, with no separate SHRESHTA code generated; (ii) a provision for uploading Utilisation Certificates (UCs) has been added.</w:t>
            </w:r>
          </w:p>
        </w:tc>
      </w:tr>
    </w:tbl>
    <w:p>
      <w:pPr>
        <w:pStyle w:val="Heading2"/>
      </w:pPr>
      <w:r>
        <w:t xml:space="preserve">Reviewers &amp;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560"/>
        <w:gridCol w:w="180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Name / Role</w:t>
            </w:r>
          </w:p>
        </w:tc>
        <w:tc>
          <w:tcPr>
            <w:tcW w:type="dxa" w:w="24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Organisation</w:t>
            </w:r>
          </w:p>
        </w:tc>
        <w:tc>
          <w:tcPr>
            <w:tcW w:type="dxa" w:w="2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Responsibility</w:t>
            </w:r>
          </w:p>
        </w:tc>
        <w:tc>
          <w:tcPr>
            <w:tcW w:type="dxa" w:w="1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Sign-off</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Programme Owner</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Ministry (Scheme Division)</w:t>
            </w:r>
          </w:p>
        </w:tc>
        <w:tc>
          <w:tcPr>
            <w:tcW w:type="dxa" w:w="2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approval</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Project Lead – SHRESHTA Mode 1</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Implementation Team</w:t>
            </w:r>
          </w:p>
        </w:tc>
        <w:tc>
          <w:tcPr>
            <w:tcW w:type="dxa" w:w="2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Requirement validation</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
            </w:r>
          </w:p>
        </w:tc>
      </w:tr>
    </w:tbl>
    <w:p>
      <w:r>
        <w:br w:type="page"/>
      </w:r>
    </w:p>
    <w:p>
      <w:pPr>
        <w:spacing w:after="200"/>
      </w:pPr>
      <w:r>
        <w:rPr>
          <w:b/>
          <w:bCs/>
          <w:color w:val="1F3864"/>
          <w:sz w:val="28"/>
          <w:szCs w:val="28"/>
        </w:rPr>
        <w:t xml:space="preserve">Table of Contents</w:t>
      </w:r>
    </w:p>
    <w:p>
      <w:pPr>
        <w:tabs>
          <w:tab w:val="right" w:pos="9360" w:leader="dot"/>
        </w:tabs>
        <w:spacing w:after="60"/>
      </w:pPr>
      <w:r>
        <w:rPr>
          <w:sz w:val="22"/>
          <w:szCs w:val="22"/>
        </w:rPr>
        <w:t xml:space="preserve">Document Control</w:t>
      </w:r>
      <w:r>
        <w:rPr>
          <w:sz w:val="22"/>
          <w:szCs w:val="22"/>
        </w:rPr>
        <w:t xml:space="preserve">	2</w:t>
      </w:r>
    </w:p>
    <w:p>
      <w:pPr>
        <w:tabs>
          <w:tab w:val="right" w:pos="9360" w:leader="dot"/>
        </w:tabs>
        <w:spacing w:after="60"/>
        <w:ind w:left="360"/>
      </w:pPr>
      <w:r>
        <w:rPr>
          <w:sz w:val="22"/>
          <w:szCs w:val="22"/>
        </w:rPr>
        <w:t xml:space="preserve">Version History</w:t>
      </w:r>
      <w:r>
        <w:rPr>
          <w:sz w:val="22"/>
          <w:szCs w:val="22"/>
        </w:rPr>
        <w:t xml:space="preserve">	2</w:t>
      </w:r>
    </w:p>
    <w:p>
      <w:pPr>
        <w:tabs>
          <w:tab w:val="right" w:pos="9360" w:leader="dot"/>
        </w:tabs>
        <w:spacing w:after="60"/>
        <w:ind w:left="360"/>
      </w:pPr>
      <w:r>
        <w:rPr>
          <w:sz w:val="22"/>
          <w:szCs w:val="22"/>
        </w:rPr>
        <w:t xml:space="preserve">Reviewers &amp; Approvals</w:t>
      </w:r>
      <w:r>
        <w:rPr>
          <w:sz w:val="22"/>
          <w:szCs w:val="22"/>
        </w:rPr>
        <w:t xml:space="preserve">	2</w:t>
      </w:r>
    </w:p>
    <w:p>
      <w:pPr>
        <w:tabs>
          <w:tab w:val="right" w:pos="9360" w:leader="dot"/>
        </w:tabs>
        <w:spacing w:after="60"/>
      </w:pPr>
      <w:r>
        <w:rPr>
          <w:sz w:val="22"/>
          <w:szCs w:val="22"/>
        </w:rPr>
        <w:t xml:space="preserve">Table of Contents</w:t>
      </w:r>
      <w:r>
        <w:rPr>
          <w:sz w:val="22"/>
          <w:szCs w:val="22"/>
        </w:rPr>
        <w:t xml:space="preserve">	3</w:t>
      </w:r>
    </w:p>
    <w:p>
      <w:pPr>
        <w:tabs>
          <w:tab w:val="right" w:pos="9360" w:leader="dot"/>
        </w:tabs>
        <w:spacing w:after="60"/>
      </w:pPr>
      <w:r>
        <w:rPr>
          <w:sz w:val="22"/>
          <w:szCs w:val="22"/>
        </w:rPr>
        <w:t xml:space="preserve">1. Introduction</w:t>
      </w:r>
      <w:r>
        <w:rPr>
          <w:sz w:val="22"/>
          <w:szCs w:val="22"/>
        </w:rPr>
        <w:t xml:space="preserve">	4</w:t>
      </w:r>
    </w:p>
    <w:p>
      <w:pPr>
        <w:tabs>
          <w:tab w:val="right" w:pos="9360" w:leader="dot"/>
        </w:tabs>
        <w:spacing w:after="60"/>
        <w:ind w:left="360"/>
      </w:pPr>
      <w:r>
        <w:rPr>
          <w:sz w:val="22"/>
          <w:szCs w:val="22"/>
        </w:rPr>
        <w:t xml:space="preserve">1.1 Purpose</w:t>
      </w:r>
      <w:r>
        <w:rPr>
          <w:sz w:val="22"/>
          <w:szCs w:val="22"/>
        </w:rPr>
        <w:t xml:space="preserve">	4</w:t>
      </w:r>
    </w:p>
    <w:p>
      <w:pPr>
        <w:tabs>
          <w:tab w:val="right" w:pos="9360" w:leader="dot"/>
        </w:tabs>
        <w:spacing w:after="60"/>
        <w:ind w:left="360"/>
      </w:pPr>
      <w:r>
        <w:rPr>
          <w:sz w:val="22"/>
          <w:szCs w:val="22"/>
        </w:rPr>
        <w:t xml:space="preserve">1.2 Background</w:t>
      </w:r>
      <w:r>
        <w:rPr>
          <w:sz w:val="22"/>
          <w:szCs w:val="22"/>
        </w:rPr>
        <w:t xml:space="preserve">	4</w:t>
      </w:r>
    </w:p>
    <w:p>
      <w:pPr>
        <w:tabs>
          <w:tab w:val="right" w:pos="9360" w:leader="dot"/>
        </w:tabs>
        <w:spacing w:after="60"/>
        <w:ind w:left="360"/>
      </w:pPr>
      <w:r>
        <w:rPr>
          <w:sz w:val="22"/>
          <w:szCs w:val="22"/>
        </w:rPr>
        <w:t xml:space="preserve">1.3 Scope of this Document</w:t>
      </w:r>
      <w:r>
        <w:rPr>
          <w:sz w:val="22"/>
          <w:szCs w:val="22"/>
        </w:rPr>
        <w:t xml:space="preserve">	4</w:t>
      </w:r>
    </w:p>
    <w:p>
      <w:pPr>
        <w:tabs>
          <w:tab w:val="right" w:pos="9360" w:leader="dot"/>
        </w:tabs>
        <w:spacing w:after="60"/>
      </w:pPr>
      <w:r>
        <w:rPr>
          <w:sz w:val="22"/>
          <w:szCs w:val="22"/>
        </w:rPr>
        <w:t xml:space="preserve">2. Business Objectives</w:t>
      </w:r>
      <w:r>
        <w:rPr>
          <w:sz w:val="22"/>
          <w:szCs w:val="22"/>
        </w:rPr>
        <w:t xml:space="preserve">	4</w:t>
      </w:r>
    </w:p>
    <w:p>
      <w:pPr>
        <w:tabs>
          <w:tab w:val="right" w:pos="9360" w:leader="dot"/>
        </w:tabs>
        <w:spacing w:after="60"/>
      </w:pPr>
      <w:r>
        <w:rPr>
          <w:sz w:val="22"/>
          <w:szCs w:val="22"/>
        </w:rPr>
        <w:t xml:space="preserve">3. Stakeholders</w:t>
      </w:r>
      <w:r>
        <w:rPr>
          <w:sz w:val="22"/>
          <w:szCs w:val="22"/>
        </w:rPr>
        <w:t xml:space="preserve">	5</w:t>
      </w:r>
    </w:p>
    <w:p>
      <w:pPr>
        <w:tabs>
          <w:tab w:val="right" w:pos="9360" w:leader="dot"/>
        </w:tabs>
        <w:spacing w:after="60"/>
      </w:pPr>
      <w:r>
        <w:rPr>
          <w:sz w:val="22"/>
          <w:szCs w:val="22"/>
        </w:rPr>
        <w:t xml:space="preserve">4. Scope</w:t>
      </w:r>
      <w:r>
        <w:rPr>
          <w:sz w:val="22"/>
          <w:szCs w:val="22"/>
        </w:rPr>
        <w:t xml:space="preserve">	5</w:t>
      </w:r>
    </w:p>
    <w:p>
      <w:pPr>
        <w:tabs>
          <w:tab w:val="right" w:pos="9360" w:leader="dot"/>
        </w:tabs>
        <w:spacing w:after="60"/>
        <w:ind w:left="360"/>
      </w:pPr>
      <w:r>
        <w:rPr>
          <w:sz w:val="22"/>
          <w:szCs w:val="22"/>
        </w:rPr>
        <w:t xml:space="preserve">4.1 In Scope</w:t>
      </w:r>
      <w:r>
        <w:rPr>
          <w:sz w:val="22"/>
          <w:szCs w:val="22"/>
        </w:rPr>
        <w:t xml:space="preserve">	5</w:t>
      </w:r>
    </w:p>
    <w:p>
      <w:pPr>
        <w:tabs>
          <w:tab w:val="right" w:pos="9360" w:leader="dot"/>
        </w:tabs>
        <w:spacing w:after="60"/>
        <w:ind w:left="360"/>
      </w:pPr>
      <w:r>
        <w:rPr>
          <w:sz w:val="22"/>
          <w:szCs w:val="22"/>
        </w:rPr>
        <w:t xml:space="preserve">4.2 Out of Scope</w:t>
      </w:r>
      <w:r>
        <w:rPr>
          <w:sz w:val="22"/>
          <w:szCs w:val="22"/>
        </w:rPr>
        <w:t xml:space="preserve">	6</w:t>
      </w:r>
    </w:p>
    <w:p>
      <w:pPr>
        <w:tabs>
          <w:tab w:val="right" w:pos="9360" w:leader="dot"/>
        </w:tabs>
        <w:spacing w:after="60"/>
      </w:pPr>
      <w:r>
        <w:rPr>
          <w:sz w:val="22"/>
          <w:szCs w:val="22"/>
        </w:rPr>
        <w:t xml:space="preserve">5. Business Process Overview</w:t>
      </w:r>
      <w:r>
        <w:rPr>
          <w:sz w:val="22"/>
          <w:szCs w:val="22"/>
        </w:rPr>
        <w:t xml:space="preserve">	6</w:t>
      </w:r>
    </w:p>
    <w:p>
      <w:pPr>
        <w:tabs>
          <w:tab w:val="right" w:pos="9360" w:leader="dot"/>
        </w:tabs>
        <w:spacing w:after="60"/>
      </w:pPr>
      <w:r>
        <w:rPr>
          <w:sz w:val="22"/>
          <w:szCs w:val="22"/>
        </w:rPr>
        <w:t xml:space="preserve">6. Functional Requirements</w:t>
      </w:r>
      <w:r>
        <w:rPr>
          <w:sz w:val="22"/>
          <w:szCs w:val="22"/>
        </w:rPr>
        <w:t xml:space="preserve">	6</w:t>
      </w:r>
    </w:p>
    <w:p>
      <w:pPr>
        <w:tabs>
          <w:tab w:val="right" w:pos="9360" w:leader="dot"/>
        </w:tabs>
        <w:spacing w:after="60"/>
        <w:ind w:left="360"/>
      </w:pPr>
      <w:r>
        <w:rPr>
          <w:sz w:val="22"/>
          <w:szCs w:val="22"/>
        </w:rPr>
        <w:t xml:space="preserve">6.1 School Onboarding, Consent &amp; Empanelment</w:t>
      </w:r>
      <w:r>
        <w:rPr>
          <w:sz w:val="22"/>
          <w:szCs w:val="22"/>
        </w:rPr>
        <w:t xml:space="preserve">	6</w:t>
      </w:r>
    </w:p>
    <w:p>
      <w:pPr>
        <w:tabs>
          <w:tab w:val="right" w:pos="9360" w:leader="dot"/>
        </w:tabs>
        <w:spacing w:after="60"/>
        <w:ind w:left="360"/>
      </w:pPr>
      <w:r>
        <w:rPr>
          <w:sz w:val="22"/>
          <w:szCs w:val="22"/>
        </w:rPr>
        <w:t xml:space="preserve">6.2 Entrance Examination &amp; Student Selection (NTA)</w:t>
      </w:r>
      <w:r>
        <w:rPr>
          <w:sz w:val="22"/>
          <w:szCs w:val="22"/>
        </w:rPr>
        <w:t xml:space="preserve">	7</w:t>
      </w:r>
    </w:p>
    <w:p>
      <w:pPr>
        <w:tabs>
          <w:tab w:val="right" w:pos="9360" w:leader="dot"/>
        </w:tabs>
        <w:spacing w:after="60"/>
        <w:ind w:left="360"/>
      </w:pPr>
      <w:r>
        <w:rPr>
          <w:sz w:val="22"/>
          <w:szCs w:val="22"/>
        </w:rPr>
        <w:t xml:space="preserve">6.3 Counselling &amp; Allotment (NICSI)</w:t>
      </w:r>
      <w:r>
        <w:rPr>
          <w:sz w:val="22"/>
          <w:szCs w:val="22"/>
        </w:rPr>
        <w:t xml:space="preserve">	7</w:t>
      </w:r>
    </w:p>
    <w:p>
      <w:pPr>
        <w:tabs>
          <w:tab w:val="right" w:pos="9360" w:leader="dot"/>
        </w:tabs>
        <w:spacing w:after="60"/>
        <w:ind w:left="360"/>
      </w:pPr>
      <w:r>
        <w:rPr>
          <w:sz w:val="22"/>
          <w:szCs w:val="22"/>
        </w:rPr>
        <w:t xml:space="preserve">6.4 Admission &amp; Reporting</w:t>
      </w:r>
      <w:r>
        <w:rPr>
          <w:sz w:val="22"/>
          <w:szCs w:val="22"/>
        </w:rPr>
        <w:t xml:space="preserve">	8</w:t>
      </w:r>
    </w:p>
    <w:p>
      <w:pPr>
        <w:tabs>
          <w:tab w:val="right" w:pos="9360" w:leader="dot"/>
        </w:tabs>
        <w:spacing w:after="60"/>
        <w:ind w:left="360"/>
      </w:pPr>
      <w:r>
        <w:rPr>
          <w:sz w:val="22"/>
          <w:szCs w:val="22"/>
        </w:rPr>
        <w:t xml:space="preserve">6.5 Annual Progression, Result Capture &amp; Dropout Management</w:t>
      </w:r>
      <w:r>
        <w:rPr>
          <w:sz w:val="22"/>
          <w:szCs w:val="22"/>
        </w:rPr>
        <w:t xml:space="preserve">	8</w:t>
      </w:r>
    </w:p>
    <w:p>
      <w:pPr>
        <w:tabs>
          <w:tab w:val="right" w:pos="9360" w:leader="dot"/>
        </w:tabs>
        <w:spacing w:after="60"/>
        <w:ind w:left="360"/>
      </w:pPr>
      <w:r>
        <w:rPr>
          <w:sz w:val="22"/>
          <w:szCs w:val="22"/>
        </w:rPr>
        <w:t xml:space="preserve">6.6 Result Validation (OCR &amp; AI)</w:t>
      </w:r>
      <w:r>
        <w:rPr>
          <w:sz w:val="22"/>
          <w:szCs w:val="22"/>
        </w:rPr>
        <w:t xml:space="preserve">	8</w:t>
      </w:r>
    </w:p>
    <w:p>
      <w:pPr>
        <w:tabs>
          <w:tab w:val="right" w:pos="9360" w:leader="dot"/>
        </w:tabs>
        <w:spacing w:after="60"/>
        <w:ind w:left="360"/>
      </w:pPr>
      <w:r>
        <w:rPr>
          <w:sz w:val="22"/>
          <w:szCs w:val="22"/>
        </w:rPr>
        <w:t xml:space="preserve">6.7 Payments &amp; Disbursement</w:t>
      </w:r>
      <w:r>
        <w:rPr>
          <w:sz w:val="22"/>
          <w:szCs w:val="22"/>
        </w:rPr>
        <w:t xml:space="preserve">	9</w:t>
      </w:r>
    </w:p>
    <w:p>
      <w:pPr>
        <w:tabs>
          <w:tab w:val="right" w:pos="9360" w:leader="dot"/>
        </w:tabs>
        <w:spacing w:after="60"/>
      </w:pPr>
      <w:r>
        <w:rPr>
          <w:sz w:val="22"/>
          <w:szCs w:val="22"/>
        </w:rPr>
        <w:t xml:space="preserve">7. Integration Requirements</w:t>
      </w:r>
      <w:r>
        <w:rPr>
          <w:sz w:val="22"/>
          <w:szCs w:val="22"/>
        </w:rPr>
        <w:t xml:space="preserve">	9</w:t>
      </w:r>
    </w:p>
    <w:p>
      <w:pPr>
        <w:tabs>
          <w:tab w:val="right" w:pos="9360" w:leader="dot"/>
        </w:tabs>
        <w:spacing w:after="60"/>
      </w:pPr>
      <w:r>
        <w:rPr>
          <w:sz w:val="22"/>
          <w:szCs w:val="22"/>
        </w:rPr>
        <w:t xml:space="preserve">8. Data Requirements &amp; Constraints</w:t>
      </w:r>
      <w:r>
        <w:rPr>
          <w:sz w:val="22"/>
          <w:szCs w:val="22"/>
        </w:rPr>
        <w:t xml:space="preserve">	10</w:t>
      </w:r>
    </w:p>
    <w:p>
      <w:pPr>
        <w:tabs>
          <w:tab w:val="right" w:pos="9360" w:leader="dot"/>
        </w:tabs>
        <w:spacing w:after="60"/>
      </w:pPr>
      <w:r>
        <w:rPr>
          <w:sz w:val="22"/>
          <w:szCs w:val="22"/>
        </w:rPr>
        <w:t xml:space="preserve">9. Non-Functional Requirements</w:t>
      </w:r>
      <w:r>
        <w:rPr>
          <w:sz w:val="22"/>
          <w:szCs w:val="22"/>
        </w:rPr>
        <w:t xml:space="preserve">	10</w:t>
      </w:r>
    </w:p>
    <w:p>
      <w:pPr>
        <w:tabs>
          <w:tab w:val="right" w:pos="9360" w:leader="dot"/>
        </w:tabs>
        <w:spacing w:after="60"/>
      </w:pPr>
      <w:r>
        <w:rPr>
          <w:sz w:val="22"/>
          <w:szCs w:val="22"/>
        </w:rPr>
        <w:t xml:space="preserve">10. Assumptions &amp; Constraints</w:t>
      </w:r>
      <w:r>
        <w:rPr>
          <w:sz w:val="22"/>
          <w:szCs w:val="22"/>
        </w:rPr>
        <w:t xml:space="preserve">	11</w:t>
      </w:r>
    </w:p>
    <w:p>
      <w:pPr>
        <w:tabs>
          <w:tab w:val="right" w:pos="9360" w:leader="dot"/>
        </w:tabs>
        <w:spacing w:after="60"/>
      </w:pPr>
      <w:r>
        <w:rPr>
          <w:sz w:val="22"/>
          <w:szCs w:val="22"/>
        </w:rPr>
        <w:t xml:space="preserve">11. Open Issues &amp; Decisions Pending</w:t>
      </w:r>
      <w:r>
        <w:rPr>
          <w:sz w:val="22"/>
          <w:szCs w:val="22"/>
        </w:rPr>
        <w:t xml:space="preserve">	11</w:t>
      </w:r>
    </w:p>
    <w:p>
      <w:pPr>
        <w:tabs>
          <w:tab w:val="right" w:pos="9360" w:leader="dot"/>
        </w:tabs>
        <w:spacing w:after="60"/>
      </w:pPr>
      <w:r>
        <w:rPr>
          <w:sz w:val="22"/>
          <w:szCs w:val="22"/>
        </w:rPr>
        <w:t xml:space="preserve">12. Glossary &amp; Abbreviations</w:t>
      </w:r>
      <w:r>
        <w:rPr>
          <w:sz w:val="22"/>
          <w:szCs w:val="22"/>
        </w:rPr>
        <w:t xml:space="preserve">	12</w:t>
      </w:r>
    </w:p>
    <w:p>
      <w:pPr>
        <w:tabs>
          <w:tab w:val="right" w:pos="9360" w:leader="dot"/>
        </w:tabs>
        <w:spacing w:after="60"/>
      </w:pPr>
      <w:r>
        <w:rPr>
          <w:sz w:val="22"/>
          <w:szCs w:val="22"/>
        </w:rPr>
        <w:t xml:space="preserve">Appendix A: Traceability to Source Notes</w:t>
      </w:r>
      <w:r>
        <w:rPr>
          <w:sz w:val="22"/>
          <w:szCs w:val="22"/>
        </w:rPr>
        <w:t xml:space="preserve">	13</w:t>
      </w:r>
    </w:p>
    <w:p>
      <w:r>
        <w:br w:type="page"/>
      </w:r>
    </w:p>
    <w:p>
      <w:pPr>
        <w:pStyle w:val="Heading1"/>
      </w:pPr>
      <w:r>
        <w:t xml:space="preserve">1. Introduction</w:t>
      </w:r>
    </w:p>
    <w:p>
      <w:pPr>
        <w:pStyle w:val="Heading2"/>
      </w:pPr>
      <w:r>
        <w:t xml:space="preserve">1.1 Purpose</w:t>
      </w:r>
    </w:p>
    <w:p>
      <w:pPr>
        <w:spacing w:after="120" w:line="276"/>
      </w:pPr>
      <w:r>
        <w:rPr>
          <w:sz w:val="22"/>
          <w:szCs w:val="22"/>
        </w:rPr>
        <w:t xml:space="preserve">This Business Requirements Document (BRD) defines the business needs for a digital platform to administer the SHRESHTA – Mode 1 scheme end to end. It captures the agreed scope, the business process, functional and non-functional requirements, integration needs, data requirements and the open points raised during the requirement gathering session. It is intended as the shared reference for the business, design and development teams, and as the baseline against which the solution will be built and validated.</w:t>
      </w:r>
    </w:p>
    <w:p>
      <w:pPr>
        <w:pStyle w:val="Heading2"/>
      </w:pPr>
      <w:r>
        <w:t xml:space="preserve">1.2 Background</w:t>
      </w:r>
    </w:p>
    <w:p>
      <w:pPr>
        <w:spacing w:after="120" w:line="276"/>
      </w:pPr>
      <w:r>
        <w:rPr>
          <w:sz w:val="22"/>
          <w:szCs w:val="22"/>
        </w:rPr>
        <w:t xml:space="preserve">SHRESHTA (Scheme for Residential Education for Students in High Schools in Targeted Areas) provides quality residential schooling to meritorious students from targeted communities. Under Mode 1, eligible students are selected through a national common entrance examination conducted by the National Testing Agency (NTA) and are placed, through counselling, into empanelled private residential schools, where they study from Class 9 through Class 12 with their costs supported by the Ministry.</w:t>
      </w:r>
    </w:p>
    <w:p>
      <w:pPr>
        <w:spacing w:after="120" w:line="276"/>
      </w:pPr>
      <w:r>
        <w:rPr>
          <w:sz w:val="22"/>
          <w:szCs w:val="22"/>
        </w:rPr>
        <w:t xml:space="preserve">The scheme is currently administered with the help of manual and semi-digital tools (for example, Google Forms sourced from the concerned division, e-mail exchange of selected-student lists, and manual handling of school applications and results). The business team wants a single, integrated platform that digitises the full lifecycle — from school onboarding to student selection, admission reporting, annual progression and payment — and that connects with the relevant Government systems.</w:t>
      </w:r>
    </w:p>
    <w:p>
      <w:pPr>
        <w:pStyle w:val="Heading2"/>
      </w:pPr>
      <w:r>
        <w:t xml:space="preserve">1.3 Scope of this Document</w:t>
      </w:r>
    </w:p>
    <w:p>
      <w:pPr>
        <w:spacing w:after="120" w:line="276"/>
      </w:pPr>
      <w:r>
        <w:rPr>
          <w:sz w:val="22"/>
          <w:szCs w:val="22"/>
        </w:rPr>
        <w:t xml:space="preserve">This BRD covers the SHRESHTA Mode 1 process only. It describes what the platform must do (business and functional requirements) and the systems it must integrate with. Detailed technical design, data models, API contracts, screen-level UI design and test plans are out of scope for this document and will be produced in subsequent design artefacts.</w:t>
      </w:r>
    </w:p>
    <w:p>
      <w:pPr>
        <w:pStyle w:val="Heading1"/>
      </w:pPr>
      <w:r>
        <w:t xml:space="preserve">2. Business Objectives</w:t>
      </w:r>
    </w:p>
    <w:p>
      <w:pPr>
        <w:spacing w:after="120" w:line="276"/>
      </w:pPr>
      <w:r>
        <w:rPr>
          <w:sz w:val="22"/>
          <w:szCs w:val="22"/>
        </w:rPr>
        <w:t xml:space="preserve">The platform is expected to achieve the following business objectives:</w:t>
      </w:r>
    </w:p>
    <w:p>
      <w:pPr>
        <w:pStyle w:val="ListParagraph"/>
        <w:numPr>
          <w:ilvl w:val="0"/>
          <w:numId w:val="2"/>
        </w:numPr>
        <w:spacing w:after="40" w:line="268"/>
      </w:pPr>
      <w:r>
        <w:rPr>
          <w:sz w:val="22"/>
          <w:szCs w:val="22"/>
        </w:rPr>
        <w:t xml:space="preserve">Digitise the complete SHRESHTA Mode 1 lifecycle — school onboarding, student selection, counselling outcomes, admission, annual progression and payment — in a single system.</w:t>
      </w:r>
    </w:p>
    <w:p>
      <w:pPr>
        <w:pStyle w:val="ListParagraph"/>
        <w:numPr>
          <w:ilvl w:val="0"/>
          <w:numId w:val="2"/>
        </w:numPr>
        <w:spacing w:after="40" w:line="268"/>
      </w:pPr>
      <w:r>
        <w:rPr>
          <w:sz w:val="22"/>
          <w:szCs w:val="22"/>
        </w:rPr>
        <w:t xml:space="preserve">Replace the existing Google Form / e-mail based working with a native web application owned by the programme.</w:t>
      </w:r>
    </w:p>
    <w:p>
      <w:pPr>
        <w:pStyle w:val="ListParagraph"/>
        <w:numPr>
          <w:ilvl w:val="0"/>
          <w:numId w:val="2"/>
        </w:numPr>
        <w:spacing w:after="40" w:line="268"/>
      </w:pPr>
      <w:r>
        <w:rPr>
          <w:sz w:val="22"/>
          <w:szCs w:val="22"/>
        </w:rPr>
        <w:t xml:space="preserve">Enable bulk, low-effort processing of school applications and student lists, instead of one-by-one manual handling.</w:t>
      </w:r>
    </w:p>
    <w:p>
      <w:pPr>
        <w:pStyle w:val="ListParagraph"/>
        <w:numPr>
          <w:ilvl w:val="0"/>
          <w:numId w:val="2"/>
        </w:numPr>
        <w:spacing w:after="40" w:line="268"/>
      </w:pPr>
      <w:r>
        <w:rPr>
          <w:sz w:val="22"/>
          <w:szCs w:val="22"/>
        </w:rPr>
        <w:t xml:space="preserve">Establish a single source of truth for which schools are empanelled, which students are selected, who actually took admission, and who continues each year.</w:t>
      </w:r>
    </w:p>
    <w:p>
      <w:pPr>
        <w:pStyle w:val="ListParagraph"/>
        <w:numPr>
          <w:ilvl w:val="0"/>
          <w:numId w:val="2"/>
        </w:numPr>
        <w:spacing w:after="40" w:line="268"/>
      </w:pPr>
      <w:r>
        <w:rPr>
          <w:sz w:val="22"/>
          <w:szCs w:val="22"/>
        </w:rPr>
        <w:t xml:space="preserve">Automate yearly fund release to schools through PFMS based on validated admission and continuation data.</w:t>
      </w:r>
    </w:p>
    <w:p>
      <w:pPr>
        <w:pStyle w:val="ListParagraph"/>
        <w:numPr>
          <w:ilvl w:val="0"/>
          <w:numId w:val="2"/>
        </w:numPr>
        <w:spacing w:after="40" w:line="268"/>
      </w:pPr>
      <w:r>
        <w:rPr>
          <w:sz w:val="22"/>
          <w:szCs w:val="22"/>
        </w:rPr>
        <w:t xml:space="preserve">Capture Utilisation Certificates (UCs) from schools against funds released, to support expenditure monitoring.</w:t>
      </w:r>
    </w:p>
    <w:p>
      <w:pPr>
        <w:pStyle w:val="ListParagraph"/>
        <w:numPr>
          <w:ilvl w:val="0"/>
          <w:numId w:val="2"/>
        </w:numPr>
        <w:spacing w:after="40" w:line="268"/>
      </w:pPr>
      <w:r>
        <w:rPr>
          <w:sz w:val="22"/>
          <w:szCs w:val="22"/>
        </w:rPr>
        <w:t xml:space="preserve">Integrate with key Government systems (UDISE, NTA, PFMS, UMANG, NGO Darpan, UDID, DBT Bharat) to avoid duplicate data entry and enable monitoring of beneficiaries and expenditure.</w:t>
      </w:r>
    </w:p>
    <w:p>
      <w:pPr>
        <w:pStyle w:val="ListParagraph"/>
        <w:numPr>
          <w:ilvl w:val="0"/>
          <w:numId w:val="2"/>
        </w:numPr>
        <w:spacing w:after="40" w:line="268"/>
      </w:pPr>
      <w:r>
        <w:rPr>
          <w:sz w:val="22"/>
          <w:szCs w:val="22"/>
        </w:rPr>
        <w:t xml:space="preserve">Track student progression and dropouts year on year using the NETS examination roll number as the unique student identifier.</w:t>
      </w:r>
    </w:p>
    <w:p>
      <w:pPr>
        <w:pStyle w:val="Heading1"/>
      </w:pPr>
      <w:r>
        <w:t xml:space="preserve">3. Stakeholders</w:t>
      </w:r>
    </w:p>
    <w:p>
      <w:pPr>
        <w:spacing w:after="120" w:line="276"/>
      </w:pPr>
      <w:r>
        <w:rPr>
          <w:sz w:val="22"/>
          <w:szCs w:val="22"/>
        </w:rPr>
        <w:t xml:space="preserve">The following stakeholders participate in, or are impacted by, the Mode 1 process and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Stakeholder</w:t>
            </w:r>
          </w:p>
        </w:tc>
        <w:tc>
          <w:tcPr>
            <w:tcW w:type="dxa" w:w="63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Role in the Process</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Ministry / Scheme Division</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Owns the scheme; issues consent forms to schools; releases yearly payments; consumes selected-student and admission lists; provides the canonical forms.</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NTA (National Testing Agency)</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Conducts the common entrance examination (NETS), publishes results, and shares the list of selected students with the Ministry.</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NICSI</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Conducts multi-round counselling and provides the Ministry with the final allotment list of students.</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NIC</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Owns existing Government APIs / data; provides API documentation and performs whitelisting for integration.</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Residential Schools (empanelled)</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Apply for empanelment, give consent to join Mode 1, report admissions, upload report cards/results, report continuation/dropouts each year, and submit Utilisation Certificates (UCs) for funds received.</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Students / Parents</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Appear for the exam, attend counselling, take admission in the allotted school, and progress Class 9–12.</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Platform / Implementation Team</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Designs, builds and operates the platform and its integrations.</w:t>
            </w:r>
          </w:p>
        </w:tc>
      </w:tr>
    </w:tbl>
    <w:p>
      <w:pPr>
        <w:pStyle w:val="Heading1"/>
      </w:pPr>
      <w:r>
        <w:t xml:space="preserve">4. Scope</w:t>
      </w:r>
    </w:p>
    <w:p>
      <w:pPr>
        <w:pStyle w:val="Heading2"/>
      </w:pPr>
      <w:r>
        <w:t xml:space="preserve">4.1 In Scope</w:t>
      </w:r>
    </w:p>
    <w:p>
      <w:pPr>
        <w:pStyle w:val="ListParagraph"/>
        <w:numPr>
          <w:ilvl w:val="0"/>
          <w:numId w:val="2"/>
        </w:numPr>
        <w:spacing w:after="40" w:line="268"/>
      </w:pPr>
      <w:r>
        <w:rPr>
          <w:sz w:val="22"/>
          <w:szCs w:val="22"/>
        </w:rPr>
        <w:t xml:space="preserve">School application, consent and empanelment workflow for Mode 1 (residential schools only).</w:t>
      </w:r>
    </w:p>
    <w:p>
      <w:pPr>
        <w:pStyle w:val="ListParagraph"/>
        <w:numPr>
          <w:ilvl w:val="0"/>
          <w:numId w:val="2"/>
        </w:numPr>
        <w:spacing w:after="40" w:line="268"/>
      </w:pPr>
      <w:r>
        <w:rPr>
          <w:sz w:val="22"/>
          <w:szCs w:val="22"/>
        </w:rPr>
        <w:t xml:space="preserve">Capture of NTA exam results and the list of selected students.</w:t>
      </w:r>
    </w:p>
    <w:p>
      <w:pPr>
        <w:pStyle w:val="ListParagraph"/>
        <w:numPr>
          <w:ilvl w:val="0"/>
          <w:numId w:val="2"/>
        </w:numPr>
        <w:spacing w:after="40" w:line="268"/>
      </w:pPr>
      <w:r>
        <w:rPr>
          <w:sz w:val="22"/>
          <w:szCs w:val="22"/>
        </w:rPr>
        <w:t xml:space="preserve">Capture of NICSI counselling outcomes and the final student allotment.</w:t>
      </w:r>
    </w:p>
    <w:p>
      <w:pPr>
        <w:pStyle w:val="ListParagraph"/>
        <w:numPr>
          <w:ilvl w:val="0"/>
          <w:numId w:val="2"/>
        </w:numPr>
        <w:spacing w:after="40" w:line="268"/>
      </w:pPr>
      <w:r>
        <w:rPr>
          <w:sz w:val="22"/>
          <w:szCs w:val="22"/>
        </w:rPr>
        <w:t xml:space="preserve">School-side admission reporting and confirmation of which students actually joined.</w:t>
      </w:r>
    </w:p>
    <w:p>
      <w:pPr>
        <w:pStyle w:val="ListParagraph"/>
        <w:numPr>
          <w:ilvl w:val="0"/>
          <w:numId w:val="2"/>
        </w:numPr>
        <w:spacing w:after="40" w:line="268"/>
      </w:pPr>
      <w:r>
        <w:rPr>
          <w:sz w:val="22"/>
          <w:szCs w:val="22"/>
        </w:rPr>
        <w:t xml:space="preserve">Annual progression workflow: report-card / result upload, result validation, dropout tracking and the next-year remaining-students list.</w:t>
      </w:r>
    </w:p>
    <w:p>
      <w:pPr>
        <w:pStyle w:val="ListParagraph"/>
        <w:numPr>
          <w:ilvl w:val="0"/>
          <w:numId w:val="2"/>
        </w:numPr>
        <w:spacing w:after="40" w:line="268"/>
      </w:pPr>
      <w:r>
        <w:rPr>
          <w:sz w:val="22"/>
          <w:szCs w:val="22"/>
        </w:rPr>
        <w:t xml:space="preserve">Yearly payment release to schools via PFMS, based on the validated list.</w:t>
      </w:r>
    </w:p>
    <w:p>
      <w:pPr>
        <w:pStyle w:val="ListParagraph"/>
        <w:numPr>
          <w:ilvl w:val="0"/>
          <w:numId w:val="2"/>
        </w:numPr>
        <w:spacing w:after="40" w:line="268"/>
      </w:pPr>
      <w:r>
        <w:rPr>
          <w:sz w:val="22"/>
          <w:szCs w:val="22"/>
        </w:rPr>
        <w:t xml:space="preserve">Upload and management of Utilisation Certificates (UCs) submitted by schools against funds released.</w:t>
      </w:r>
    </w:p>
    <w:p>
      <w:pPr>
        <w:pStyle w:val="ListParagraph"/>
        <w:numPr>
          <w:ilvl w:val="0"/>
          <w:numId w:val="2"/>
        </w:numPr>
        <w:spacing w:after="40" w:line="268"/>
      </w:pPr>
      <w:r>
        <w:rPr>
          <w:sz w:val="22"/>
          <w:szCs w:val="22"/>
        </w:rPr>
        <w:t xml:space="preserve">Integration with UDISE, NTA, PFMS, UMANG, NGO Darpan, UDID and DBT Bharat.</w:t>
      </w:r>
    </w:p>
    <w:p>
      <w:pPr>
        <w:pStyle w:val="ListParagraph"/>
        <w:numPr>
          <w:ilvl w:val="0"/>
          <w:numId w:val="2"/>
        </w:numPr>
        <w:spacing w:after="40" w:line="268"/>
      </w:pPr>
      <w:r>
        <w:rPr>
          <w:sz w:val="22"/>
          <w:szCs w:val="22"/>
        </w:rPr>
        <w:t xml:space="preserve">Use of the NETS examination roll number as the unique student code (no separate SHRESHTA code is generated) and use of the UDISE code for schools.</w:t>
      </w:r>
    </w:p>
    <w:p>
      <w:pPr>
        <w:pStyle w:val="Heading2"/>
      </w:pPr>
      <w:r>
        <w:t xml:space="preserve">4.2 Out of Scope</w:t>
      </w:r>
    </w:p>
    <w:p>
      <w:pPr>
        <w:pStyle w:val="ListParagraph"/>
        <w:numPr>
          <w:ilvl w:val="0"/>
          <w:numId w:val="2"/>
        </w:numPr>
        <w:spacing w:after="40" w:line="268"/>
      </w:pPr>
      <w:r>
        <w:rPr>
          <w:sz w:val="22"/>
          <w:szCs w:val="22"/>
        </w:rPr>
        <w:t xml:space="preserve">Conduct of the entrance examination itself (owned by NTA).</w:t>
      </w:r>
    </w:p>
    <w:p>
      <w:pPr>
        <w:pStyle w:val="ListParagraph"/>
        <w:numPr>
          <w:ilvl w:val="0"/>
          <w:numId w:val="2"/>
        </w:numPr>
        <w:spacing w:after="40" w:line="268"/>
      </w:pPr>
      <w:r>
        <w:rPr>
          <w:sz w:val="22"/>
          <w:szCs w:val="22"/>
        </w:rPr>
        <w:t xml:space="preserve">The counselling engine / process itself (owned by NICSI); the platform consumes its outputs.</w:t>
      </w:r>
    </w:p>
    <w:p>
      <w:pPr>
        <w:pStyle w:val="ListParagraph"/>
        <w:numPr>
          <w:ilvl w:val="0"/>
          <w:numId w:val="2"/>
        </w:numPr>
        <w:spacing w:after="40" w:line="268"/>
      </w:pPr>
      <w:r>
        <w:rPr>
          <w:sz w:val="22"/>
          <w:szCs w:val="22"/>
        </w:rPr>
        <w:t xml:space="preserve">Non-residential schools and any SHRESHTA mode other than Mode 1.</w:t>
      </w:r>
    </w:p>
    <w:p>
      <w:pPr>
        <w:pStyle w:val="ListParagraph"/>
        <w:numPr>
          <w:ilvl w:val="0"/>
          <w:numId w:val="2"/>
        </w:numPr>
        <w:spacing w:after="40" w:line="268"/>
      </w:pPr>
      <w:r>
        <w:rPr>
          <w:sz w:val="22"/>
          <w:szCs w:val="22"/>
        </w:rPr>
        <w:t xml:space="preserve">Historical data prior to the 2021–22 cycle (data is available only from scheme inception).</w:t>
      </w:r>
    </w:p>
    <w:p>
      <w:pPr>
        <w:pStyle w:val="Heading1"/>
      </w:pPr>
      <w:r>
        <w:t xml:space="preserve">5. Business Process Overview</w:t>
      </w:r>
    </w:p>
    <w:p>
      <w:pPr>
        <w:spacing w:after="120" w:line="276"/>
      </w:pPr>
      <w:r>
        <w:rPr>
          <w:sz w:val="22"/>
          <w:szCs w:val="22"/>
        </w:rPr>
        <w:t xml:space="preserve">Mode 1 is a yearly activity. The end-to-end flow agreed in the session is summarised below; each stage is detailed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Stage</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Description</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1. School Onboarding</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Ministry issues a consent form to schools to opt into SHRESHTA Mode 1. Schools apply through a web form. Applications are reviewed and approved (in bulk where possible). Only residential schools are eligible.</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2. Entrance &amp; Selection</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NTA conducts the common entrance exam (NETS) and publishes results. NTA shares the list of selected students with the Ministry. Maximum 3,000 seats per year; fresh admissions only in Class 9 and Class 11.</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3. Counselling &amp; Allotment</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NICSI conducts multiple rounds of counselling and provides the Ministry with the final allotment list of students to schools.</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4. Admission &amp; Reporting</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student joins the allotted school. The school completes admission reporting, producing a confirmed list of students who actually took admission.</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5. Payment</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Based on the confirmed list, the Ministry releases a one-time yearly payment to schools through PFMS. Funds flow every year for Classes 9 to 12. Schools upload Utilisation Certificates (UCs) evidencing utilisation of the funds received.</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6. Annual Progression</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Each year, schools upload the previous class’s report card/result, results are validated, dropouts are identified, and schools submit the list of remaining (continuing) students for the next year.</w:t>
            </w:r>
          </w:p>
        </w:tc>
      </w:tr>
    </w:tbl>
    <w:p>
      <w:pPr>
        <w:spacing w:after="120" w:before="120" w:line="276"/>
      </w:pPr>
      <w:r>
        <w:rPr>
          <w:b/>
          <w:bCs/>
          <w:sz w:val="22"/>
          <w:szCs w:val="22"/>
        </w:rPr>
        <w:t xml:space="preserve">Identifiers: </w:t>
      </w:r>
      <w:r>
        <w:rPr>
          <w:sz w:val="22"/>
          <w:szCs w:val="22"/>
        </w:rPr>
        <w:t xml:space="preserve">Each student is identified by their NETS examination roll number, which is used as the student code in place of a separately generated SHRESHTA code; each school is identified by its UDISE code. These identifiers thread the data together across all stages and across years.</w:t>
      </w:r>
    </w:p>
    <w:p>
      <w:pPr>
        <w:pStyle w:val="Heading1"/>
      </w:pPr>
      <w:r>
        <w:t xml:space="preserve">6. Functional Requirements</w:t>
      </w:r>
    </w:p>
    <w:p>
      <w:pPr>
        <w:pStyle w:val="Heading2"/>
      </w:pPr>
      <w:r>
        <w:t xml:space="preserve">6.1 School Onboarding, Consent &amp; Empanelment</w:t>
      </w:r>
    </w:p>
    <w:p>
      <w:pPr>
        <w:spacing w:after="120" w:line="276"/>
      </w:pPr>
      <w:r>
        <w:rPr>
          <w:sz w:val="22"/>
          <w:szCs w:val="22"/>
        </w:rPr>
        <w:t xml:space="preserve">This module replaces the current Google Form (sourced from the division) with a native web application for school registration and empanelment, with bulk handling of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860"/>
        <w:gridCol w:w="120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 ID</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Description</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jc w:val="center"/>
            </w:pPr>
            <w:r>
              <w:rPr>
                <w:b/>
                <w:bCs/>
                <w:i w:val="false"/>
                <w:iCs w:val="false"/>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FR-SO-01</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provide a native web form for schools to apply / register for SHRESHTA Mode 1, replacing the existing Google Form currently obtained from the division.</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FR-SO-02</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allow the Ministry to issue a consent form to schools to opt into SHRESHTA Mode 1; the canonical consent form is to be provided by the Ministry.</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FR-SO-03</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restrict Mode 1 eligibility to residential schools only.</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FR-SO-04</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allow related forms / applications to be grouped (“clubbed”) together for review and processing.</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FR-SO-05</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support bulk action on applications: e.g. where 100 applications are received and 80 are found in order, the reviewer shall be able to move / approve those 80 together in a single action rather than one by one.</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FR-SO-06</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validate and link each school to its UDISE code via UDISE integration.</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FR-SO-07</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support school onboarding as a recurring (yearly) activity.</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bl>
    <w:p>
      <w:pPr>
        <w:pStyle w:val="Heading2"/>
      </w:pPr>
      <w:r>
        <w:t xml:space="preserve">6.2 Entrance Examination &amp; Student Selection (NTA)</w:t>
      </w:r>
    </w:p>
    <w:p>
      <w:pPr>
        <w:spacing w:after="120" w:line="276"/>
      </w:pPr>
      <w:r>
        <w:rPr>
          <w:sz w:val="22"/>
          <w:szCs w:val="22"/>
        </w:rPr>
        <w:t xml:space="preserve">The entrance exam is conducted by NTA. The platform must ingest results and the selected-student list, currently shared by NTA with the Ministry by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860"/>
        <w:gridCol w:w="120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 ID</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Description</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jc w:val="center"/>
            </w:pPr>
            <w:r>
              <w:rPr>
                <w:b/>
                <w:bCs/>
                <w:i w:val="false"/>
                <w:iCs w:val="false"/>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FR-ES-01</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capture the results of the NTA common entrance examination — the National Entrance Test for SHRESHTA (“NETS”) — once published.</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FR-ES-02</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receive the list of selected students that NTA shares with the Ministry; this shall move from the current e-mail-based exchange to an API-based feed (see Section 7).</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FR-ES-03</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enforce a maximum of 3,000 selected seats per year.</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FR-ES-04</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permit fresh admissions only in Class 9 and Class 11.</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FR-ES-05</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track each selected student by their NETS examination roll number, which serves as the unique student code, for later reconciliation (e.g. dropout checks).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FR-ES-06</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adopt the NETS examination roll number assigned to each student as the unique student code and shall not generate a separate SHRESHTA student code.</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bl>
    <w:p>
      <w:pPr>
        <w:pStyle w:val="Heading2"/>
      </w:pPr>
      <w:r>
        <w:t xml:space="preserve">6.3 Counselling &amp; Allotment (NICSI)</w:t>
      </w:r>
    </w:p>
    <w:p>
      <w:pPr>
        <w:spacing w:after="120" w:line="276"/>
      </w:pPr>
      <w:r>
        <w:rPr>
          <w:sz w:val="22"/>
          <w:szCs w:val="22"/>
        </w:rPr>
        <w:t xml:space="preserve">Counselling is run by NICSI over multiple rounds; the platform consumes its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860"/>
        <w:gridCol w:w="120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 ID</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Description</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jc w:val="center"/>
            </w:pPr>
            <w:r>
              <w:rPr>
                <w:b/>
                <w:bCs/>
                <w:i w:val="false"/>
                <w:iCs w:val="false"/>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FR-CA-01</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support / record multi-round counselling outcomes conducted by NICSI.</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FR-CA-02</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receive from NICSI the final allotment list of students to schools, as provided to the Ministry.</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FR-CA-03</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map each allotted student to the allotted school (by NETS examination roll number and UDISE code).</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bl>
    <w:p>
      <w:pPr>
        <w:pStyle w:val="Heading2"/>
      </w:pPr>
      <w:r>
        <w:t xml:space="preserve">6.4 Admission &amp; Reporting</w:t>
      </w:r>
    </w:p>
    <w:p>
      <w:pPr>
        <w:spacing w:after="120" w:line="276"/>
      </w:pPr>
      <w:r>
        <w:rPr>
          <w:sz w:val="22"/>
          <w:szCs w:val="22"/>
        </w:rPr>
        <w:t xml:space="preserve">After allotment, the student joins the school; the school confirms the admission so that a final, accurate list of joined students is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860"/>
        <w:gridCol w:w="120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 ID</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Description</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jc w:val="center"/>
            </w:pPr>
            <w:r>
              <w:rPr>
                <w:b/>
                <w:bCs/>
                <w:i w:val="false"/>
                <w:iCs w:val="false"/>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FR-AR-01</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allow the school to complete admission reporting for each allotted student who joins.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FR-AR-02</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generate a confirmed final list of students who actually took admission, per school.</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FR-AR-03</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reconcile the confirmed-admission list against the allotment list to identify allotted students who did not join.</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bl>
    <w:p>
      <w:pPr>
        <w:spacing w:after="120" w:line="276"/>
      </w:pPr>
      <w:r>
        <w:rPr>
          <w:b/>
          <w:bCs/>
          <w:sz w:val="22"/>
          <w:szCs w:val="22"/>
        </w:rPr>
        <w:t xml:space="preserve">Open point: </w:t>
      </w:r>
      <w:r>
        <w:rPr>
          <w:sz w:val="22"/>
          <w:szCs w:val="22"/>
        </w:rPr>
        <w:t xml:space="preserve">The exact meaning and fields of “PI reporting” (the school-side admission report) need confirmation from the business team. Captured in Section 11.</w:t>
      </w:r>
    </w:p>
    <w:p>
      <w:pPr>
        <w:pStyle w:val="Heading2"/>
      </w:pPr>
      <w:r>
        <w:t xml:space="preserve">6.5 Annual Progression, Result Capture &amp; Dropout Management</w:t>
      </w:r>
    </w:p>
    <w:p>
      <w:pPr>
        <w:spacing w:after="120" w:line="276"/>
      </w:pPr>
      <w:r>
        <w:rPr>
          <w:sz w:val="22"/>
          <w:szCs w:val="22"/>
        </w:rPr>
        <w:t xml:space="preserve">Mode 1 support runs Class 9 to Class 12. Each year, before a student is progressed and funded, the school must evidence the previous year’s result, results are validated, and continuing vs. dropped-out students are determined.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860"/>
        <w:gridCol w:w="120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 ID</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Description</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jc w:val="center"/>
            </w:pPr>
            <w:r>
              <w:rPr>
                <w:b/>
                <w:bCs/>
                <w:i w:val="false"/>
                <w:iCs w:val="false"/>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FR-AP-01</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Before progressing a student to the next year, the system shall require the school to upload the student’s previous class report card / result.</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FR-AP-02</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identify, among students selected in the previous year, those who have dropped out, reconciled using the NETS examination roll number (the unique student code).</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FR-AP-03</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allow each school to submit, every year, the list of remaining (continuing) students and the count of students still enrolled.</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FR-AP-04</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capture result data primarily at school level (school-wise).</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FR-AP-05</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request the next-year list of remaining students from each school so that vacancies / continuation can be computed.</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bl>
    <w:p>
      <w:pPr>
        <w:pStyle w:val="Heading2"/>
      </w:pPr>
      <w:r>
        <w:t xml:space="preserve">6.6 Result Validation (OCR &amp; AI)</w:t>
      </w:r>
    </w:p>
    <w:p>
      <w:pPr>
        <w:spacing w:after="120" w:line="276"/>
      </w:pPr>
      <w:r>
        <w:rPr>
          <w:sz w:val="22"/>
          <w:szCs w:val="22"/>
        </w:rPr>
        <w:t xml:space="preserve">Schools submit result lists / report cards that must be digitised and validated. The session distinguished clearly between new admissions and annual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860"/>
        <w:gridCol w:w="120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 ID</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Description</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jc w:val="center"/>
            </w:pPr>
            <w:r>
              <w:rPr>
                <w:b/>
                <w:bCs/>
                <w:i w:val="false"/>
                <w:iCs w:val="false"/>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FR-RV-01</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apply OCR to the result lists / report cards submitted by schools to extract result data.</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FR-RV-02</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validate results using AI for the annual (year-on-year promotion) examination only.</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FR-RV-03</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NOT require AI result validation for new admissions, as their results are already validated through CBSE / the respective board.</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FR-RV-04</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obtain results from NTA via API for the validation flow (see Section 7).</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FR-RV-05</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provide a manual result-entry option as a fallback to OCR / automated capture.</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FR-RV-06</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match the captured / entered result against the uploaded report card (AI-assisted matching) and flag mismatches.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bl>
    <w:p>
      <w:pPr>
        <w:pStyle w:val="Heading2"/>
      </w:pPr>
      <w:r>
        <w:t xml:space="preserve">6.7 Payments &amp; Disbursement</w:t>
      </w:r>
    </w:p>
    <w:p>
      <w:pPr>
        <w:spacing w:after="120" w:line="276"/>
      </w:pPr>
      <w:r>
        <w:rPr>
          <w:sz w:val="22"/>
          <w:szCs w:val="22"/>
        </w:rPr>
        <w:t xml:space="preserve">Funds are released to schools yearly through PFMS, driven by the validated admission and continuation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860"/>
        <w:gridCol w:w="120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 ID</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Description</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jc w:val="center"/>
            </w:pPr>
            <w:r>
              <w:rPr>
                <w:b/>
                <w:bCs/>
                <w:i w:val="false"/>
                <w:iCs w:val="false"/>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FR-PY-01</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enable the Ministry to release a one-time yearly payment to schools through PFMS, based on the confirmed list of admitted / continuing students.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FR-PY-02</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support yearly fund flow for each beneficiary from Class 9 to Class 12.</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FR-PY-03</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base each year’s payment on the validated continuation list (dropouts excluded).</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FR-PY-04</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record and expose payment / disbursement status for monitoring (linked to DBT Bharat / PFMS).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FR-PY-05</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provide a provision for schools to upload Utilisation Certificates (UCs) evidencing utilisation of the funds released to them.</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FR-PY-06</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associate each uploaded UC with the relevant school (UDISE code), the applicable payment year / cycle and the amount disbursed.</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FR-PY-07</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system shall record and display the UC submission and verification status for monitoring, and shall be able to make submission of the previous year’s UC a prerequisite for release of the subsequent year’s payment.</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bl>
    <w:p>
      <w:pPr>
        <w:pStyle w:val="Heading1"/>
      </w:pPr>
      <w:r>
        <w:t xml:space="preserve">7. Integration Requirements</w:t>
      </w:r>
    </w:p>
    <w:p>
      <w:pPr>
        <w:spacing w:after="120" w:line="276"/>
      </w:pPr>
      <w:r>
        <w:rPr>
          <w:sz w:val="22"/>
          <w:szCs w:val="22"/>
        </w:rPr>
        <w:t xml:space="preserve">The platform must integrate with the following Government systems. For NIC-owned systems, API documentation is required from NIC, after which whitelisting will be performed. A key open decision is whether to build fresh APIs or reuse NIC’s existing APIs (see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ID</w:t>
            </w:r>
          </w:p>
        </w:tc>
        <w:tc>
          <w:tcPr>
            <w:tcW w:type="dxa" w:w="1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System</w:t>
            </w:r>
          </w:p>
        </w:tc>
        <w:tc>
          <w:tcPr>
            <w:tcW w:type="dxa" w:w="6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Purpose of Integration</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INT-01</w:t>
            </w:r>
          </w:p>
        </w:tc>
        <w:tc>
          <w:tcPr>
            <w:tcW w:type="dxa" w:w="17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UDISE</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Identify and validate schools; link each school by its UDISE code.</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INT-02</w:t>
            </w:r>
          </w:p>
        </w:tc>
        <w:tc>
          <w:tcPr>
            <w:tcW w:type="dxa" w:w="17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NTA</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Receive the list of selected students (replacing e-mail) and obtain examination results for validation.</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INT-03</w:t>
            </w:r>
          </w:p>
        </w:tc>
        <w:tc>
          <w:tcPr>
            <w:tcW w:type="dxa" w:w="17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PFMS</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Release and track yearly payments to schools.</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INT-04</w:t>
            </w:r>
          </w:p>
        </w:tc>
        <w:tc>
          <w:tcPr>
            <w:tcW w:type="dxa" w:w="17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UMANG</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Citizen-facing access / service delivery integration.</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INT-05</w:t>
            </w:r>
          </w:p>
        </w:tc>
        <w:tc>
          <w:tcPr>
            <w:tcW w:type="dxa" w:w="17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NGO Darpan</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Organisation/entity verification and integration (to be explored).</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INT-06</w:t>
            </w:r>
          </w:p>
        </w:tc>
        <w:tc>
          <w:tcPr>
            <w:tcW w:type="dxa" w:w="17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UDID</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Disability identification for applicable beneficiaries.</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INT-07</w:t>
            </w:r>
          </w:p>
        </w:tc>
        <w:tc>
          <w:tcPr>
            <w:tcW w:type="dxa" w:w="17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DBT Bharat</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Monitor number of beneficiaries and expenditure (how much has been spent) (to be explored).</w:t>
            </w:r>
          </w:p>
        </w:tc>
      </w:tr>
      <w:tr>
        <w:tc>
          <w:tcPr>
            <w:tcW w:type="dxa" w:w="11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INT-08</w:t>
            </w:r>
          </w:p>
        </w:tc>
        <w:tc>
          <w:tcPr>
            <w:tcW w:type="dxa" w:w="17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NIC APIs</w:t>
            </w:r>
          </w:p>
        </w:tc>
        <w:tc>
          <w:tcPr>
            <w:tcW w:type="dxa" w:w="65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Reuse existing NIC data/APIs where possible; requires API documentation and whitelisting.</w:t>
            </w:r>
          </w:p>
        </w:tc>
      </w:tr>
    </w:tbl>
    <w:p>
      <w:pPr>
        <w:spacing w:after="120" w:before="120" w:line="276"/>
      </w:pPr>
      <w:r>
        <w:rPr>
          <w:b/>
          <w:bCs/>
          <w:sz w:val="22"/>
          <w:szCs w:val="22"/>
        </w:rPr>
        <w:t xml:space="preserve">Identifier strategy: </w:t>
      </w:r>
      <w:r>
        <w:rPr>
          <w:sz w:val="22"/>
          <w:szCs w:val="22"/>
        </w:rPr>
        <w:t xml:space="preserve">Student = NETS examination roll number (used as the student code; no separate SHRESHTA code is generated); School = UDISE code. These are the primary keys that bind the integrations and records together.</w:t>
      </w:r>
    </w:p>
    <w:p>
      <w:pPr>
        <w:pStyle w:val="Heading1"/>
      </w:pPr>
      <w:r>
        <w:t xml:space="preserve">8. Data Requirements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Area</w:t>
            </w:r>
          </w:p>
        </w:tc>
        <w:tc>
          <w:tcPr>
            <w:tcW w:type="dxa" w:w="67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 Constraint</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Historical data</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Available only from the 2021–22 cycle onwards, as the scheme started then. No earlier data is to be loaded.</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Capacity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Maximum 3,000 seats per year.</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Data will be held mostly at school level (school-wise).</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Entry classes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Fresh admissions only in Class 9 and Class 11; funding spans Class 9 to Class 12.</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Student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NETS examination roll number, used as the unique student code (no separate SHRESHTA code is generated).</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School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UDISE code.</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Reconciliation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NETS examination roll number (the student code), used for dropout and continuation checks.</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Utilisation Certificates (UCs)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UC documents uploaded by schools per payment year, linked to the school’s UDISE code and the relevant payment cycle.</w:t>
            </w:r>
          </w:p>
        </w:tc>
      </w:tr>
    </w:tbl>
    <w:p>
      <w:pPr>
        <w:pStyle w:val="Heading1"/>
      </w:pPr>
      <w:r>
        <w:t xml:space="preserve">9. Non-Functional Requirements</w:t>
      </w:r>
    </w:p>
    <w:p>
      <w:pPr>
        <w:spacing w:after="120" w:line="276"/>
      </w:pPr>
      <w:r>
        <w:rPr>
          <w:sz w:val="22"/>
          <w:szCs w:val="22"/>
        </w:rPr>
        <w:t xml:space="preserve">The following non-functional requirements are derived from the nature of the platform and the integrations discussed. They should be confirmed and quantified with the business and technical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860"/>
        <w:gridCol w:w="120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 ID</w:t>
            </w:r>
          </w:p>
        </w:tc>
        <w:tc>
          <w:tcPr>
            <w:tcW w:type="dxa" w:w="68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Requirement Description</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jc w:val="center"/>
            </w:pPr>
            <w:r>
              <w:rPr>
                <w:b/>
                <w:bCs/>
                <w:i w:val="false"/>
                <w:iCs w:val="false"/>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NFR-01</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Security &amp; access control: role-based access for Ministry, schools, NTA/NICSI coordinators and administrators; secure handling of student data.</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NFR-02</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Integration readiness: support secure API-based exchange and whitelisting as required by NIC / partner systems.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NFR-03</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Auditability: maintain an audit trail of approvals, bulk actions, result validations, payment releases and utilisation certificate submissions.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NFR-04</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Scalability: handle yearly cycles at the scale of up to 3,000 new seats plus continuing cohorts across Classes 9–12.</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NFR-05</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Accuracy of OCR/AI: result extraction and validation should meet an agreed accuracy threshold, with manual fallback and mismatch flagging.</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High</w:t>
            </w:r>
          </w:p>
        </w:tc>
      </w:tr>
      <w:tr>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NFR-06</w:t>
            </w:r>
          </w:p>
        </w:tc>
        <w:tc>
          <w:tcPr>
            <w:tcW w:type="dxa" w:w="68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Availability &amp; data retention: ensure availability during peak admission/counselling windows and retain records for the full Class 9–12 lifecycle.</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jc w:val="center"/>
            </w:pPr>
            <w:r>
              <w:rPr>
                <w:b w:val="false"/>
                <w:bCs w:val="false"/>
                <w:i w:val="false"/>
                <w:iCs w:val="false"/>
                <w:sz w:val="20"/>
                <w:szCs w:val="20"/>
              </w:rPr>
              <w:t xml:space="preserve">Medium</w:t>
            </w:r>
          </w:p>
        </w:tc>
      </w:tr>
    </w:tbl>
    <w:p>
      <w:pPr>
        <w:pStyle w:val="Heading1"/>
      </w:pPr>
      <w:r>
        <w:t xml:space="preserve">10. Assumptions &amp; Constraints</w:t>
      </w:r>
    </w:p>
    <w:p>
      <w:pPr>
        <w:pStyle w:val="ListParagraph"/>
        <w:numPr>
          <w:ilvl w:val="0"/>
          <w:numId w:val="2"/>
        </w:numPr>
        <w:spacing w:after="40" w:line="268"/>
      </w:pPr>
      <w:r>
        <w:rPr>
          <w:sz w:val="22"/>
          <w:szCs w:val="22"/>
        </w:rPr>
        <w:t xml:space="preserve">The scheme covers residential schools only under Mode 1.</w:t>
      </w:r>
    </w:p>
    <w:p>
      <w:pPr>
        <w:pStyle w:val="ListParagraph"/>
        <w:numPr>
          <w:ilvl w:val="0"/>
          <w:numId w:val="2"/>
        </w:numPr>
        <w:spacing w:after="40" w:line="268"/>
      </w:pPr>
      <w:r>
        <w:rPr>
          <w:sz w:val="22"/>
          <w:szCs w:val="22"/>
        </w:rPr>
        <w:t xml:space="preserve">The entrance examination, results and the selected-student list are produced by NTA; the platform consumes them.</w:t>
      </w:r>
    </w:p>
    <w:p>
      <w:pPr>
        <w:pStyle w:val="ListParagraph"/>
        <w:numPr>
          <w:ilvl w:val="0"/>
          <w:numId w:val="2"/>
        </w:numPr>
        <w:spacing w:after="40" w:line="268"/>
      </w:pPr>
      <w:r>
        <w:rPr>
          <w:sz w:val="22"/>
          <w:szCs w:val="22"/>
        </w:rPr>
        <w:t xml:space="preserve">Counselling and the final allotment list are produced by NICSI; the platform consumes them.</w:t>
      </w:r>
    </w:p>
    <w:p>
      <w:pPr>
        <w:pStyle w:val="ListParagraph"/>
        <w:numPr>
          <w:ilvl w:val="0"/>
          <w:numId w:val="2"/>
        </w:numPr>
        <w:spacing w:after="40" w:line="268"/>
      </w:pPr>
      <w:r>
        <w:rPr>
          <w:sz w:val="22"/>
          <w:szCs w:val="22"/>
        </w:rPr>
        <w:t xml:space="preserve">Historical data exists only from 2021–22.</w:t>
      </w:r>
    </w:p>
    <w:p>
      <w:pPr>
        <w:pStyle w:val="ListParagraph"/>
        <w:numPr>
          <w:ilvl w:val="0"/>
          <w:numId w:val="2"/>
        </w:numPr>
        <w:spacing w:after="40" w:line="268"/>
      </w:pPr>
      <w:r>
        <w:rPr>
          <w:sz w:val="22"/>
          <w:szCs w:val="22"/>
        </w:rPr>
        <w:t xml:space="preserve">Maximum intake is 3,000 students per year, with fresh admissions only in Class 9 and Class 11.</w:t>
      </w:r>
    </w:p>
    <w:p>
      <w:pPr>
        <w:pStyle w:val="ListParagraph"/>
        <w:numPr>
          <w:ilvl w:val="0"/>
          <w:numId w:val="2"/>
        </w:numPr>
        <w:spacing w:after="40" w:line="268"/>
      </w:pPr>
      <w:r>
        <w:rPr>
          <w:sz w:val="22"/>
          <w:szCs w:val="22"/>
        </w:rPr>
        <w:t xml:space="preserve">New-admission results are already validated by CBSE / the relevant board, so AI validation applies only to annual promotion results.</w:t>
      </w:r>
    </w:p>
    <w:p>
      <w:pPr>
        <w:pStyle w:val="ListParagraph"/>
        <w:numPr>
          <w:ilvl w:val="0"/>
          <w:numId w:val="2"/>
        </w:numPr>
        <w:spacing w:after="40" w:line="268"/>
      </w:pPr>
      <w:r>
        <w:rPr>
          <w:sz w:val="22"/>
          <w:szCs w:val="22"/>
        </w:rPr>
        <w:t xml:space="preserve">Canonical forms (e.g. the consent form) will be provided by the Ministry / division.</w:t>
      </w:r>
    </w:p>
    <w:p>
      <w:pPr>
        <w:pStyle w:val="ListParagraph"/>
        <w:numPr>
          <w:ilvl w:val="0"/>
          <w:numId w:val="2"/>
        </w:numPr>
        <w:spacing w:after="40" w:line="268"/>
      </w:pPr>
      <w:r>
        <w:rPr>
          <w:sz w:val="22"/>
          <w:szCs w:val="22"/>
        </w:rPr>
        <w:t xml:space="preserve">NIC will provide the necessary API documentation to enable integration and whitelisting.</w:t>
      </w:r>
    </w:p>
    <w:p>
      <w:pPr>
        <w:pStyle w:val="ListParagraph"/>
        <w:numPr>
          <w:ilvl w:val="0"/>
          <w:numId w:val="2"/>
        </w:numPr>
        <w:spacing w:after="40" w:line="268"/>
      </w:pPr>
      <w:r>
        <w:rPr>
          <w:sz w:val="22"/>
          <w:szCs w:val="22"/>
        </w:rPr>
        <w:t xml:space="preserve">The NETS examination roll number assigned to each student is treated as the unique student code; no separate SHRESHTA student code is generated.</w:t>
      </w:r>
    </w:p>
    <w:p>
      <w:pPr>
        <w:pStyle w:val="ListParagraph"/>
        <w:numPr>
          <w:ilvl w:val="0"/>
          <w:numId w:val="2"/>
        </w:numPr>
        <w:spacing w:after="40" w:line="268"/>
      </w:pPr>
      <w:r>
        <w:rPr>
          <w:sz w:val="22"/>
          <w:szCs w:val="22"/>
        </w:rPr>
        <w:t xml:space="preserve">Schools are required to submit Utilisation Certificates (UCs) for funds received; the UC format / template will be provided by the Ministry / division.</w:t>
      </w:r>
    </w:p>
    <w:p>
      <w:pPr>
        <w:pStyle w:val="Heading1"/>
      </w:pPr>
      <w:r>
        <w:t xml:space="preserve">11. Open Issues &amp; Decisions Pending</w:t>
      </w:r>
    </w:p>
    <w:p>
      <w:pPr>
        <w:spacing w:after="120" w:line="276"/>
      </w:pPr>
      <w:r>
        <w:rPr>
          <w:sz w:val="22"/>
          <w:szCs w:val="22"/>
        </w:rPr>
        <w:t xml:space="preserve">The following points were raised in the session and remain open. They should be resolved before / during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ID</w:t>
            </w:r>
          </w:p>
        </w:tc>
        <w:tc>
          <w:tcPr>
            <w:tcW w:type="dxa" w:w="54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Open Item</w:t>
            </w:r>
          </w:p>
        </w:tc>
        <w:tc>
          <w:tcPr>
            <w:tcW w:type="dxa" w:w="3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Owner / Next Step</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OI-01</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Build fresh APIs or reuse the existing NIC APIs?</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Decision needed; depends on NIC API documentation.</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OI-02</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API documentation required from NIC; whitelisting to follow once received.</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NIC to provide; platform team to whitelist.</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OI-03</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Confirm the exact definition and fields of school-side “PI reporting” (admission report).</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team to clarify.</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OI-04</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Confirm the end-to-end process flow (the “flow” discussion was noted as pending).</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Joint working session.</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OI-05</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Confirm source and ownership of the existing Google Form (“taken from the division”) to migrate it.</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team / division.</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OI-06</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Confirm role of CBSE list of schools and how it feeds empanelment.</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team.</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OI-07</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Scope and depth of NGO Darpan and DBT Bharat integration (marked “explore”).</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Technical feasibility review.</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OI-08</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Confirm the format / template and mandatory fields for Utilisation Certificates (UCs) to be uploaded by schools.</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team / Ministry to provide.</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OI-09</w:t>
            </w:r>
          </w:p>
        </w:tc>
        <w:tc>
          <w:tcPr>
            <w:tcW w:type="dxa" w:w="54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Confirm whether submission of the previous year’s UC is a prerequisite for release of the next year’s payment.</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Business team / Scheme Division.</w:t>
            </w:r>
          </w:p>
        </w:tc>
      </w:tr>
    </w:tbl>
    <w:p>
      <w:pPr>
        <w:pStyle w:val="Heading1"/>
      </w:pPr>
      <w:r>
        <w:t xml:space="preserve">12. Glossary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Term</w:t>
            </w:r>
          </w:p>
        </w:tc>
        <w:tc>
          <w:tcPr>
            <w:tcW w:type="dxa" w:w="67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Meaning</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SHRESHTA</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Scheme for Residential Education for Students in High Schools in Targeted Areas.</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Mode 1</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SHRESHTA mode covering admission of selected students into empanelled private residential schools (Class 9 / Class 11 entry).</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NTA</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National Testing Agency — conducts the common entrance examination and shares results / selected students.</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NETS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National Entrance Test for SHRESHTA — the common entrance examination conducted by NTA; the roll number assigned for this test is used as the student code.</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NICSI</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National Informatics Centre Services Inc. — conducts counselling and provides the final allotment list.</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National Informatics Centre — owns existing Government APIs; provides API docs and whitelisting.</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UDISE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Unified District Information System for Education — school identification code.</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PFMS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Public Financial Management System — used to release yearly payments.</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UMANG</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Unified Mobile Application for New-age Governance — citizen service platform.</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NGO Darpan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NITI Aayog portal for registering and verifying organisations.</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UDID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Unique Disability ID — disability identification.</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DBT Bharat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Direct Benefit Transfer platform — beneficiary and expenditure monitoring.</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OCR</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Optical Character Recognition — extracting text from uploaded result lists / report cards.</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UC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Utilisation Certificate — a certificate submitted by a school evidencing utilisation of the funds released to it.</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PI Reporting</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School-side admission report (exact definition to be confirmed — see Section 11).</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bCs/>
                <w:i w:val="false"/>
                <w:iCs w:val="false"/>
                <w:sz w:val="20"/>
                <w:szCs w:val="20"/>
              </w:rPr>
              <w:t xml:space="preserve">NETS roll number</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The roll number assigned to a student for the NETS entrance examination, used as the unique student code in the platform (no separate SHRESHTA code is generated).</w:t>
            </w:r>
          </w:p>
        </w:tc>
      </w:tr>
    </w:tbl>
    <w:p>
      <w:pPr>
        <w:pStyle w:val="Heading1"/>
      </w:pPr>
      <w:r>
        <w:t xml:space="preserve">Appendix A: Traceability to Source Notes</w:t>
      </w:r>
    </w:p>
    <w:p>
      <w:pPr>
        <w:spacing w:after="120" w:line="276"/>
      </w:pPr>
      <w:r>
        <w:rPr>
          <w:sz w:val="22"/>
          <w:szCs w:val="22"/>
        </w:rPr>
        <w:t xml:space="preserve">Each requirement in this BRD traces back to the handwritten requirement-gathering notes. The mapping below links the key note points to the relevant sections for verification. The final two rows record the changes introduced in version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Source note (paraphrased)</w:t>
            </w:r>
          </w:p>
        </w:tc>
        <w:tc>
          <w:tcPr>
            <w:tcW w:type="dxa" w:w="36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r>
              <w:rPr>
                <w:b/>
                <w:bCs/>
                <w:i w:val="false"/>
                <w:iCs w:val="false"/>
                <w:sz w:val="20"/>
                <w:szCs w:val="20"/>
              </w:rPr>
              <w:t xml:space="preserve">BRD Reference</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Option to club forms; build a web form</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FR-SO-01, FR-SO-04</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100 applications, 80 OK — move together (bulk)</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FR-SO-05</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Take Google form from division</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FR-SO-01, OI-05</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UDISE integration for schools</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FR-SO-06, INT-01</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NTA common exam → result publish; NICSI counselling</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FR-ES-01, FR-CA-01</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Consent form to schools to join Mode 1 (form from ministry)</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FR-SO-02</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Only residential schools; yearly activity</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FR-SO-03, FR-SO-07</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Multiple-round counselling; NICSI final allotment list</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FR-CA-01, FR-CA-02</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Student takes admission; school PI reporting; final joined list</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FR-AR-01, FR-AR-02</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Ministry releases one-time yearly payment via PFMS; Class 9–12</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FR-PY-01, FR-PY-02</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Fresh admissions only in Class 9 and 11</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FR-ES-04</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Dropout check via NTA number; remaining-students list each year</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FR-AP-02, FR-AP-03</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Upload previous class report card before progressing</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FR-AP-01</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Student = NETS roll number; School = UDISE code; PFMS &amp; UMANG integration</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Section 7, Section 8</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Darpan, UMANG, UDID, DBT Bharat, PFMS — explore integration</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INT-03 to INT-08</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Fresh API or existing NIC API? Need NIC API doc + whitelisting</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OI-01, OI-02, INT-08</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Previous data only from 2021–22; max 3,000 seats/year; school-wise</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Section 8</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OCR for result lists; AI validation only for annual exam; manual fallback; match to report card</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FR-RV-01 to FR-RV-06</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Review comment (v0.2): use the NETS examination roll number as the student code; do not generate a separate SHRESHTA code</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FR-ES-05, FR-ES-06, FR-CA-03, FR-AP-02; Sections 4.1, 5, 7, 8</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Review comment (v0.2): provision to upload Utilisation Certificates (UCs)</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r>
              <w:rPr>
                <w:b w:val="false"/>
                <w:bCs w:val="false"/>
                <w:i w:val="false"/>
                <w:iCs w:val="false"/>
                <w:sz w:val="20"/>
                <w:szCs w:val="20"/>
              </w:rPr>
              <w:t xml:space="preserve">FR-PY-05 to FR-PY-07; Section 4.1; OI-08, OI-09</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360"/>
      </w:tabs>
    </w:pPr>
    <w:r>
      <w:rPr>
        <w:color w:val="808080"/>
        <w:sz w:val="16"/>
        <w:szCs w:val="16"/>
      </w:rPr>
      <w:t xml:space="preserve">Confidential – Internal Use</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pPr>
    <w:r>
      <w:rPr>
        <w:color w:val="808080"/>
        <w:sz w:val="16"/>
        <w:szCs w:val="16"/>
      </w:rPr>
      <w:t xml:space="preserve">Business Requirements Document  —  SHRESHTA – Mode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4"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SHRESHTA Mode 1 (v0.2)</dc:title>
  <dc:creator>Business Analysis Team</dc:creator>
  <cp:lastModifiedBy>Un-named</cp:lastModifiedBy>
  <cp:revision>1</cp:revision>
  <dcterms:created xsi:type="dcterms:W3CDTF">2026-06-23T06:21:39.218Z</dcterms:created>
  <dcterms:modified xsi:type="dcterms:W3CDTF">2026-06-23T06:21:39.218Z</dcterms:modified>
</cp:coreProperties>
</file>

<file path=docProps/custom.xml><?xml version="1.0" encoding="utf-8"?>
<Properties xmlns="http://schemas.openxmlformats.org/officeDocument/2006/custom-properties" xmlns:vt="http://schemas.openxmlformats.org/officeDocument/2006/docPropsVTypes"/>
</file>