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Noto Sans" w:hAnsi="Noto Sans"/>
          <w:b/>
          <w:color w:val="1F3864"/>
          <w:sz w:val="38"/>
        </w:rPr>
        <w:t>UX4G adoption plan</w:t>
      </w:r>
    </w:p>
    <w:tbl>
      <w:tblPr>
        <w:tblStyle w:val="TableGrid"/>
        <w:tblW w:type="auto" w:w="0"/>
        <w:jc w:val="center"/>
        <w:tblLook w:firstColumn="1" w:firstRow="1" w:lastColumn="0" w:lastRow="0" w:noHBand="0" w:noVBand="1" w:val="04A0"/>
      </w:tblPr>
      <w:tblGrid>
        <w:gridCol w:w="5112"/>
        <w:gridCol w:w="5112"/>
      </w:tblGrid>
      <w:tr>
        <w:tc>
          <w:tcPr>
            <w:tcW w:type="dxa" w:w="5112"/>
          </w:tcPr>
          <w:p>
            <w:pPr>
              <w:spacing w:after="40"/>
            </w:pPr>
          </w:p>
        </w:tc>
        <w:tc>
          <w:tcPr>
            <w:tcW w:type="dxa" w:w="5112"/>
          </w:tcPr>
          <w:p>
            <w:pPr>
              <w:spacing w:after="40"/>
            </w:pPr>
          </w:p>
        </w:tc>
      </w:tr>
      <w:tr>
        <w:tc>
          <w:tcPr>
            <w:tcW w:type="dxa" w:w="5112"/>
          </w:tcPr>
          <w:p>
            <w:pPr>
              <w:spacing w:after="40"/>
            </w:pPr>
            <w:r>
              <w:rPr>
                <w:rFonts w:ascii="Noto Sans" w:hAnsi="Noto Sans"/>
                <w:b/>
                <w:sz w:val="17"/>
              </w:rPr>
              <w:t>Programme</w:t>
            </w:r>
          </w:p>
        </w:tc>
        <w:tc>
          <w:tcPr>
            <w:tcW w:type="dxa" w:w="5112"/>
          </w:tcPr>
          <w:p>
            <w:pPr>
              <w:spacing w:after="40"/>
            </w:pPr>
            <w:r>
              <w:rPr>
                <w:rFonts w:ascii="Noto Sans" w:hAnsi="Noto Sans"/>
                <w:b w:val="0"/>
                <w:sz w:val="17"/>
              </w:rPr>
              <w:t>MoSJE / DoSJE websites and portals</w:t>
            </w:r>
          </w:p>
        </w:tc>
      </w:tr>
      <w:tr>
        <w:tc>
          <w:tcPr>
            <w:tcW w:type="dxa" w:w="5112"/>
          </w:tcPr>
          <w:p>
            <w:pPr>
              <w:spacing w:after="40"/>
            </w:pPr>
            <w:r>
              <w:rPr>
                <w:rFonts w:ascii="Noto Sans" w:hAnsi="Noto Sans"/>
                <w:b/>
                <w:sz w:val="17"/>
              </w:rPr>
              <w:t>Prepared by</w:t>
            </w:r>
          </w:p>
        </w:tc>
        <w:tc>
          <w:tcPr>
            <w:tcW w:type="dxa" w:w="5112"/>
          </w:tcPr>
          <w:p>
            <w:pPr>
              <w:spacing w:after="40"/>
            </w:pPr>
            <w:r>
              <w:rPr>
                <w:rFonts w:ascii="Noto Sans" w:hAnsi="Noto Sans"/>
                <w:b w:val="0"/>
                <w:sz w:val="17"/>
              </w:rPr>
              <w:t>Akash Kumar, Designer</w:t>
            </w:r>
          </w:p>
        </w:tc>
      </w:tr>
      <w:tr>
        <w:tc>
          <w:tcPr>
            <w:tcW w:type="dxa" w:w="5112"/>
          </w:tcPr>
          <w:p>
            <w:pPr>
              <w:spacing w:after="40"/>
            </w:pPr>
            <w:r>
              <w:rPr>
                <w:rFonts w:ascii="Noto Sans" w:hAnsi="Noto Sans"/>
                <w:b/>
                <w:sz w:val="17"/>
              </w:rPr>
              <w:t>Date</w:t>
            </w:r>
          </w:p>
        </w:tc>
        <w:tc>
          <w:tcPr>
            <w:tcW w:type="dxa" w:w="5112"/>
          </w:tcPr>
          <w:p>
            <w:pPr>
              <w:spacing w:after="40"/>
            </w:pPr>
            <w:r>
              <w:rPr>
                <w:rFonts w:ascii="Noto Sans" w:hAnsi="Noto Sans"/>
                <w:b w:val="0"/>
                <w:sz w:val="17"/>
              </w:rPr>
              <w:t>04 August 2026</w:t>
            </w:r>
          </w:p>
        </w:tc>
      </w:tr>
      <w:tr>
        <w:tc>
          <w:tcPr>
            <w:tcW w:type="dxa" w:w="5112"/>
          </w:tcPr>
          <w:p>
            <w:pPr>
              <w:spacing w:after="40"/>
            </w:pPr>
            <w:r>
              <w:rPr>
                <w:rFonts w:ascii="Noto Sans" w:hAnsi="Noto Sans"/>
                <w:b/>
                <w:sz w:val="17"/>
              </w:rPr>
              <w:t>Status</w:t>
            </w:r>
          </w:p>
        </w:tc>
        <w:tc>
          <w:tcPr>
            <w:tcW w:type="dxa" w:w="5112"/>
          </w:tcPr>
          <w:p>
            <w:pPr>
              <w:spacing w:after="40"/>
            </w:pPr>
            <w:r>
              <w:rPr>
                <w:rFonts w:ascii="Noto Sans" w:hAnsi="Noto Sans"/>
                <w:b w:val="0"/>
                <w:sz w:val="17"/>
              </w:rPr>
              <w:t>For review</w:t>
            </w:r>
          </w:p>
        </w:tc>
      </w:tr>
      <w:tr>
        <w:tc>
          <w:tcPr>
            <w:tcW w:type="dxa" w:w="5112"/>
          </w:tcPr>
          <w:p>
            <w:pPr>
              <w:spacing w:after="40"/>
            </w:pPr>
            <w:r>
              <w:rPr>
                <w:rFonts w:ascii="Noto Sans" w:hAnsi="Noto Sans"/>
                <w:b/>
                <w:sz w:val="17"/>
              </w:rPr>
              <w:t>Deliverable</w:t>
            </w:r>
          </w:p>
        </w:tc>
        <w:tc>
          <w:tcPr>
            <w:tcW w:type="dxa" w:w="5112"/>
          </w:tcPr>
          <w:p>
            <w:pPr>
              <w:spacing w:after="40"/>
            </w:pPr>
            <w:r>
              <w:rPr>
                <w:rFonts w:ascii="Noto Sans" w:hAnsi="Noto Sans"/>
                <w:b w:val="0"/>
                <w:sz w:val="17"/>
              </w:rPr>
              <w:t>The Figma design file</w:t>
            </w:r>
          </w:p>
        </w:tc>
      </w:tr>
      <w:tr>
        <w:tc>
          <w:tcPr>
            <w:tcW w:type="dxa" w:w="5112"/>
          </w:tcPr>
          <w:p>
            <w:pPr>
              <w:spacing w:after="40"/>
            </w:pPr>
            <w:r>
              <w:rPr>
                <w:rFonts w:ascii="Noto Sans" w:hAnsi="Noto Sans"/>
                <w:b/>
                <w:sz w:val="17"/>
              </w:rPr>
              <w:t>Working against</w:t>
            </w:r>
          </w:p>
        </w:tc>
        <w:tc>
          <w:tcPr>
            <w:tcW w:type="dxa" w:w="5112"/>
          </w:tcPr>
          <w:p>
            <w:pPr>
              <w:spacing w:after="40"/>
            </w:pPr>
            <w:r>
              <w:rPr>
                <w:rFonts w:ascii="Noto Sans" w:hAnsi="Noto Sans"/>
                <w:b w:val="0"/>
                <w:sz w:val="17"/>
              </w:rPr>
              <w:t>UX4G Design System 3.0 (Figma kit)</w:t>
            </w:r>
          </w:p>
        </w:tc>
      </w:tr>
      <w:tr>
        <w:tc>
          <w:tcPr>
            <w:tcW w:type="dxa" w:w="5112"/>
          </w:tcPr>
          <w:p>
            <w:pPr>
              <w:spacing w:after="40"/>
            </w:pPr>
            <w:r>
              <w:rPr>
                <w:rFonts w:ascii="Noto Sans" w:hAnsi="Noto Sans"/>
                <w:b/>
                <w:sz w:val="17"/>
              </w:rPr>
              <w:t>Companion documents</w:t>
            </w:r>
          </w:p>
        </w:tc>
        <w:tc>
          <w:tcPr>
            <w:tcW w:type="dxa" w:w="5112"/>
          </w:tcPr>
          <w:p>
            <w:pPr>
              <w:spacing w:after="40"/>
            </w:pPr>
            <w:r>
              <w:rPr>
                <w:rFonts w:ascii="Consolas" w:hAnsi="Consolas"/>
                <w:b w:val="0"/>
                <w:sz w:val="17"/>
              </w:rPr>
              <w:t>UX4G-Clarification-Questionnaire</w:t>
            </w:r>
            <w:r>
              <w:rPr>
                <w:rFonts w:ascii="Noto Sans" w:hAnsi="Noto Sans"/>
                <w:b w:val="0"/>
                <w:sz w:val="17"/>
              </w:rPr>
              <w:t xml:space="preserve">, </w:t>
            </w:r>
            <w:r>
              <w:rPr>
                <w:rFonts w:ascii="Consolas" w:hAnsi="Consolas"/>
                <w:b w:val="0"/>
                <w:sz w:val="17"/>
              </w:rPr>
              <w:t>UX4G-Adoption-Tracker</w:t>
            </w:r>
          </w:p>
        </w:tc>
      </w:tr>
    </w:tbl>
    <w:p>
      <w:pPr>
        <w:spacing w:after="80"/>
      </w:pPr>
    </w:p>
    <w:p/>
    <w:p>
      <w:pPr>
        <w:spacing w:before="320" w:after="120"/>
      </w:pPr>
      <w:r>
        <w:rPr>
          <w:rFonts w:ascii="Noto Sans" w:hAnsi="Noto Sans"/>
          <w:b/>
          <w:color w:val="1F3864"/>
          <w:sz w:val="27"/>
        </w:rPr>
        <w:t>What has been asked</w:t>
      </w:r>
    </w:p>
    <w:p>
      <w:pPr>
        <w:spacing w:after="140"/>
      </w:pPr>
      <w:r>
        <w:rPr>
          <w:rFonts w:ascii="Noto Sans" w:hAnsi="Noto Sans"/>
          <w:sz w:val="21"/>
        </w:rPr>
        <w:t>UX4G is now the design standard for all projects under DIC and NeGD. Five things follow:</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fill="1F3864"/>
          </w:tcPr>
          <w:p>
            <w:pPr>
              <w:spacing w:after="40"/>
            </w:pPr>
            <w:r>
              <w:rPr>
                <w:rFonts w:ascii="Noto Sans" w:hAnsi="Noto Sans"/>
                <w:b/>
                <w:color w:val="FFFFFF"/>
                <w:sz w:val="17"/>
              </w:rPr>
              <w:t>#</w:t>
            </w:r>
          </w:p>
        </w:tc>
        <w:tc>
          <w:tcPr>
            <w:tcW w:type="dxa" w:w="3408"/>
            <w:shd w:val="clear" w:fill="1F3864"/>
          </w:tcPr>
          <w:p>
            <w:pPr>
              <w:spacing w:after="40"/>
            </w:pPr>
            <w:r>
              <w:rPr>
                <w:rFonts w:ascii="Noto Sans" w:hAnsi="Noto Sans"/>
                <w:b/>
                <w:color w:val="FFFFFF"/>
                <w:sz w:val="17"/>
              </w:rPr>
              <w:t>Direction</w:t>
            </w:r>
          </w:p>
        </w:tc>
        <w:tc>
          <w:tcPr>
            <w:tcW w:type="dxa" w:w="3408"/>
            <w:shd w:val="clear" w:fill="1F3864"/>
          </w:tcPr>
          <w:p>
            <w:pPr>
              <w:spacing w:after="40"/>
            </w:pPr>
            <w:r>
              <w:rPr>
                <w:rFonts w:ascii="Noto Sans" w:hAnsi="Noto Sans"/>
                <w:b/>
                <w:color w:val="FFFFFF"/>
                <w:sz w:val="17"/>
              </w:rPr>
              <w:t>Timing</w:t>
            </w:r>
          </w:p>
        </w:tc>
      </w:tr>
      <w:tr>
        <w:tc>
          <w:tcPr>
            <w:tcW w:type="dxa" w:w="3408"/>
          </w:tcPr>
          <w:p>
            <w:pPr>
              <w:spacing w:after="40"/>
            </w:pPr>
            <w:r>
              <w:rPr>
                <w:rFonts w:ascii="Noto Sans" w:hAnsi="Noto Sans"/>
                <w:b w:val="0"/>
                <w:sz w:val="17"/>
              </w:rPr>
              <w:t>1</w:t>
            </w:r>
          </w:p>
        </w:tc>
        <w:tc>
          <w:tcPr>
            <w:tcW w:type="dxa" w:w="3408"/>
          </w:tcPr>
          <w:p>
            <w:pPr>
              <w:spacing w:after="40"/>
            </w:pPr>
            <w:r>
              <w:rPr>
                <w:rFonts w:ascii="Noto Sans" w:hAnsi="Noto Sans"/>
                <w:b w:val="0"/>
                <w:sz w:val="17"/>
              </w:rPr>
              <w:t>UX4G only. No other design system or component library for new work</w:t>
            </w:r>
          </w:p>
        </w:tc>
        <w:tc>
          <w:tcPr>
            <w:tcW w:type="dxa" w:w="3408"/>
          </w:tcPr>
          <w:p>
            <w:pPr>
              <w:spacing w:after="40"/>
            </w:pPr>
            <w:r>
              <w:rPr>
                <w:rFonts w:ascii="Noto Sans" w:hAnsi="Noto Sans"/>
                <w:b w:val="0"/>
                <w:sz w:val="17"/>
              </w:rPr>
              <w:t>Immediate</w:t>
            </w:r>
          </w:p>
        </w:tc>
      </w:tr>
      <w:tr>
        <w:tc>
          <w:tcPr>
            <w:tcW w:type="dxa" w:w="3408"/>
          </w:tcPr>
          <w:p>
            <w:pPr>
              <w:spacing w:after="40"/>
            </w:pPr>
            <w:r>
              <w:rPr>
                <w:rFonts w:ascii="Noto Sans" w:hAnsi="Noto Sans"/>
                <w:b w:val="0"/>
                <w:sz w:val="17"/>
              </w:rPr>
              <w:t>2</w:t>
            </w:r>
          </w:p>
        </w:tc>
        <w:tc>
          <w:tcPr>
            <w:tcW w:type="dxa" w:w="3408"/>
          </w:tcPr>
          <w:p>
            <w:pPr>
              <w:spacing w:after="40"/>
            </w:pPr>
            <w:r>
              <w:rPr>
                <w:rFonts w:ascii="Noto Sans" w:hAnsi="Noto Sans"/>
                <w:b w:val="0"/>
                <w:sz w:val="17"/>
              </w:rPr>
              <w:t>Full transition</w:t>
            </w:r>
          </w:p>
        </w:tc>
        <w:tc>
          <w:tcPr>
            <w:tcW w:type="dxa" w:w="3408"/>
          </w:tcPr>
          <w:p>
            <w:pPr>
              <w:spacing w:after="40"/>
            </w:pPr>
            <w:r>
              <w:rPr>
                <w:rFonts w:ascii="Noto Sans" w:hAnsi="Noto Sans"/>
                <w:b w:val="0"/>
                <w:sz w:val="17"/>
              </w:rPr>
              <w:t>Three months</w:t>
            </w:r>
          </w:p>
        </w:tc>
      </w:tr>
      <w:tr>
        <w:tc>
          <w:tcPr>
            <w:tcW w:type="dxa" w:w="3408"/>
          </w:tcPr>
          <w:p>
            <w:pPr>
              <w:spacing w:after="40"/>
            </w:pPr>
            <w:r>
              <w:rPr>
                <w:rFonts w:ascii="Noto Sans" w:hAnsi="Noto Sans"/>
                <w:b w:val="0"/>
                <w:sz w:val="17"/>
              </w:rPr>
              <w:t>3</w:t>
            </w:r>
          </w:p>
        </w:tc>
        <w:tc>
          <w:tcPr>
            <w:tcW w:type="dxa" w:w="3408"/>
          </w:tcPr>
          <w:p>
            <w:pPr>
              <w:spacing w:after="40"/>
            </w:pPr>
            <w:r>
              <w:rPr>
                <w:rFonts w:ascii="Noto Sans" w:hAnsi="Noto Sans"/>
                <w:b w:val="0"/>
                <w:sz w:val="17"/>
              </w:rPr>
              <w:t>Weekly status report in the prescribed format</w:t>
            </w:r>
          </w:p>
        </w:tc>
        <w:tc>
          <w:tcPr>
            <w:tcW w:type="dxa" w:w="3408"/>
          </w:tcPr>
          <w:p>
            <w:pPr>
              <w:spacing w:after="40"/>
            </w:pPr>
            <w:r>
              <w:rPr>
                <w:rFonts w:ascii="Noto Sans" w:hAnsi="Noto Sans"/>
                <w:b w:val="0"/>
                <w:sz w:val="17"/>
              </w:rPr>
              <w:t>From the first week of August</w:t>
            </w:r>
          </w:p>
        </w:tc>
      </w:tr>
      <w:tr>
        <w:tc>
          <w:tcPr>
            <w:tcW w:type="dxa" w:w="3408"/>
          </w:tcPr>
          <w:p>
            <w:pPr>
              <w:spacing w:after="40"/>
            </w:pPr>
            <w:r>
              <w:rPr>
                <w:rFonts w:ascii="Noto Sans" w:hAnsi="Noto Sans"/>
                <w:b w:val="0"/>
                <w:sz w:val="17"/>
              </w:rPr>
              <w:t>4</w:t>
            </w:r>
          </w:p>
        </w:tc>
        <w:tc>
          <w:tcPr>
            <w:tcW w:type="dxa" w:w="3408"/>
          </w:tcPr>
          <w:p>
            <w:pPr>
              <w:spacing w:after="40"/>
            </w:pPr>
            <w:r>
              <w:rPr>
                <w:rFonts w:ascii="Noto Sans" w:hAnsi="Noto Sans"/>
                <w:b w:val="0"/>
                <w:sz w:val="17"/>
              </w:rPr>
              <w:t>Build missing components to UX4G principles and contribute them back</w:t>
            </w:r>
          </w:p>
        </w:tc>
        <w:tc>
          <w:tcPr>
            <w:tcW w:type="dxa" w:w="3408"/>
          </w:tcPr>
          <w:p>
            <w:pPr>
              <w:spacing w:after="40"/>
            </w:pPr>
            <w:r>
              <w:rPr>
                <w:rFonts w:ascii="Noto Sans" w:hAnsi="Noto Sans"/>
                <w:b w:val="0"/>
                <w:sz w:val="17"/>
              </w:rPr>
              <w:t>Ongoing</w:t>
            </w:r>
          </w:p>
        </w:tc>
      </w:tr>
      <w:tr>
        <w:tc>
          <w:tcPr>
            <w:tcW w:type="dxa" w:w="3408"/>
          </w:tcPr>
          <w:p>
            <w:pPr>
              <w:spacing w:after="40"/>
            </w:pPr>
            <w:r>
              <w:rPr>
                <w:rFonts w:ascii="Noto Sans" w:hAnsi="Noto Sans"/>
                <w:b w:val="0"/>
                <w:sz w:val="17"/>
              </w:rPr>
              <w:t>5</w:t>
            </w:r>
          </w:p>
        </w:tc>
        <w:tc>
          <w:tcPr>
            <w:tcW w:type="dxa" w:w="3408"/>
          </w:tcPr>
          <w:p>
            <w:pPr>
              <w:spacing w:after="40"/>
            </w:pPr>
            <w:r>
              <w:rPr>
                <w:rFonts w:ascii="Noto Sans" w:hAnsi="Noto Sans"/>
                <w:b w:val="0"/>
                <w:sz w:val="17"/>
              </w:rPr>
              <w:t>No parallel or project-specific libraries</w:t>
            </w:r>
          </w:p>
        </w:tc>
        <w:tc>
          <w:tcPr>
            <w:tcW w:type="dxa" w:w="3408"/>
          </w:tcPr>
          <w:p>
            <w:pPr>
              <w:spacing w:after="40"/>
            </w:pPr>
            <w:r>
              <w:rPr>
                <w:rFonts w:ascii="Noto Sans" w:hAnsi="Noto Sans"/>
                <w:b w:val="0"/>
                <w:sz w:val="17"/>
              </w:rPr>
              <w:t>Immediate</w:t>
            </w:r>
          </w:p>
        </w:tc>
      </w:tr>
    </w:tbl>
    <w:p>
      <w:pPr>
        <w:spacing w:after="80"/>
      </w:pPr>
    </w:p>
    <w:p>
      <w:pPr>
        <w:spacing w:after="140"/>
      </w:pPr>
      <w:r>
        <w:rPr>
          <w:rFonts w:ascii="Noto Sans" w:hAnsi="Noto Sans"/>
          <w:sz w:val="21"/>
        </w:rPr>
        <w:t>We are glad to take this on. The directive also allows teams to raise genuine obstacles within fifteen days, and we intend to use that window for one point noted below.</w:t>
      </w:r>
    </w:p>
    <w:p/>
    <w:p>
      <w:pPr>
        <w:spacing w:before="320" w:after="120"/>
      </w:pPr>
      <w:r>
        <w:rPr>
          <w:rFonts w:ascii="Noto Sans" w:hAnsi="Noto Sans"/>
          <w:b/>
          <w:color w:val="1F3864"/>
          <w:sz w:val="27"/>
        </w:rPr>
        <w:t>Where we are starting from</w:t>
      </w:r>
    </w:p>
    <w:p>
      <w:pPr>
        <w:spacing w:after="140"/>
      </w:pPr>
      <w:r>
        <w:rPr>
          <w:rFonts w:ascii="Noto Sans" w:hAnsi="Noto Sans"/>
          <w:sz w:val="21"/>
        </w:rPr>
        <w:t xml:space="preserve">We are in a better position than a standing start. </w:t>
      </w:r>
      <w:r>
        <w:rPr>
          <w:rFonts w:ascii="Noto Sans" w:hAnsi="Noto Sans"/>
          <w:b/>
          <w:sz w:val="21"/>
        </w:rPr>
        <w:t>Our existing designs were already built on UX4G 2.0</w:t>
      </w:r>
      <w:r>
        <w:rPr>
          <w:rFonts w:ascii="Noto Sans" w:hAnsi="Noto Sans"/>
          <w:sz w:val="21"/>
        </w:rPr>
        <w:t>, so this is a version upgrade rather than a move from an unrelated system. The foundations, the component thinking and the typeface are already shared.</w:t>
      </w:r>
    </w:p>
    <w:p>
      <w:pPr>
        <w:spacing w:after="140"/>
      </w:pPr>
      <w:r>
        <w:rPr>
          <w:rFonts w:ascii="Noto Sans" w:hAnsi="Noto Sans"/>
          <w:sz w:val="21"/>
        </w:rPr>
        <w:t>Two things shape the work from here.</w:t>
      </w:r>
    </w:p>
    <w:p>
      <w:pPr>
        <w:spacing w:after="140"/>
      </w:pPr>
      <w:r>
        <w:rPr>
          <w:rFonts w:ascii="Noto Sans" w:hAnsi="Noto Sans"/>
          <w:b/>
          <w:sz w:val="21"/>
        </w:rPr>
        <w:t>Component names and structures may have changed between 2.0 and 3.0.</w:t>
      </w:r>
      <w:r>
        <w:rPr>
          <w:rFonts w:ascii="Noto Sans" w:hAnsi="Noto Sans"/>
          <w:sz w:val="21"/>
        </w:rPr>
        <w:t xml:space="preserve"> Figma matches components by name when a library is replaced, so we cannot assume the two versions line up. We will compare them and build a mapping before touching the library, and rebuild only where the mapping does not hold. Checking first is the difference between a smooth upgrade and unlinking work that already exists.</w:t>
      </w:r>
    </w:p>
    <w:p>
      <w:pPr>
        <w:spacing w:after="140"/>
      </w:pPr>
      <w:r>
        <w:rPr>
          <w:rFonts w:ascii="Noto Sans" w:hAnsi="Noto Sans"/>
          <w:b/>
          <w:sz w:val="21"/>
        </w:rPr>
        <w:t>We have not yet measured how much of our Figma work is built from library components.</w:t>
      </w:r>
      <w:r>
        <w:rPr>
          <w:rFonts w:ascii="Noto Sans" w:hAnsi="Noto Sans"/>
          <w:sz w:val="21"/>
        </w:rPr>
        <w:t xml:space="preserve"> Screens assembled from library components pick up an upgrade almost automatically. Screens with detached or hand-drawn elements have to be reworked individually. This single measurement affects the timeline more than anything else, and it is the first thing we will do. We will publish the figure in the first weekly report rather than commit to a rate we cannot yet evidence.</w:t>
      </w:r>
    </w:p>
    <w:p>
      <w:pPr>
        <w:spacing w:after="140"/>
      </w:pPr>
      <w:r>
        <w:rPr>
          <w:rFonts w:ascii="Noto Sans" w:hAnsi="Noto Sans"/>
          <w:sz w:val="21"/>
        </w:rPr>
        <w:t>On the build side, the picture varies by portal. Some already use our shared components heavily, others hardly at all. The portals with the most to do are also, helpfully, the ones with the least finished design work, so the order of work below reflects that.</w:t>
      </w:r>
    </w:p>
    <w:p/>
    <w:p>
      <w:pPr>
        <w:spacing w:before="320" w:after="120"/>
      </w:pPr>
      <w:r>
        <w:rPr>
          <w:rFonts w:ascii="Noto Sans" w:hAnsi="Noto Sans"/>
          <w:b/>
          <w:color w:val="1F3864"/>
          <w:sz w:val="27"/>
        </w:rPr>
        <w:t>How we plan to do it</w:t>
      </w:r>
    </w:p>
    <w:p>
      <w:pPr>
        <w:spacing w:before="320" w:after="120"/>
      </w:pPr>
      <w:r>
        <w:rPr>
          <w:rFonts w:ascii="Noto Sans" w:hAnsi="Noto Sans"/>
          <w:b/>
          <w:color w:val="0373DF"/>
          <w:sz w:val="23"/>
        </w:rPr>
        <w:t>Follow UX4G's own setup</w:t>
      </w:r>
    </w:p>
    <w:p>
      <w:pPr>
        <w:spacing w:after="140"/>
      </w:pPr>
      <w:r>
        <w:rPr>
          <w:rFonts w:ascii="Noto Sans" w:hAnsi="Noto Sans"/>
          <w:sz w:val="21"/>
        </w:rPr>
        <w:t>UX4G asks teams to duplicate the Community file, move it into their team project, and publish it as their own library. We will do that once, and use that single library across every portal.</w:t>
      </w:r>
    </w:p>
    <w:p>
      <w:pPr>
        <w:spacing w:before="320" w:after="120"/>
      </w:pPr>
      <w:r>
        <w:rPr>
          <w:rFonts w:ascii="Noto Sans" w:hAnsi="Noto Sans"/>
          <w:b/>
          <w:color w:val="0373DF"/>
          <w:sz w:val="23"/>
        </w:rPr>
        <w:t>Upgrade the library rather than replace it</w:t>
      </w:r>
    </w:p>
    <w:p>
      <w:pPr>
        <w:spacing w:after="140"/>
      </w:pPr>
      <w:r>
        <w:rPr>
          <w:rFonts w:ascii="Noto Sans" w:hAnsi="Noto Sans"/>
          <w:sz w:val="21"/>
        </w:rPr>
        <w:t>We will map 2.0 against 3.0 first, then upgrade in place wherever names and structures allow, so existing screens keep their links and pick up the new styling. Where 3.0 has genuinely restructured something, we rebuild that component deliberately rather than letting a replacement break the link silently.</w:t>
      </w:r>
    </w:p>
    <w:p>
      <w:pPr>
        <w:spacing w:after="140"/>
      </w:pPr>
      <w:r>
        <w:rPr>
          <w:rFonts w:ascii="Noto Sans" w:hAnsi="Noto Sans"/>
          <w:sz w:val="21"/>
        </w:rPr>
        <w:t>We will test this on one portal before applying it more widely.</w:t>
      </w:r>
    </w:p>
    <w:p>
      <w:pPr>
        <w:spacing w:before="320" w:after="120"/>
      </w:pPr>
      <w:r>
        <w:rPr>
          <w:rFonts w:ascii="Noto Sans" w:hAnsi="Noto Sans"/>
          <w:b/>
          <w:color w:val="0373DF"/>
          <w:sz w:val="23"/>
        </w:rPr>
        <w:t>Apply ministry branding through Theme Craft</w:t>
      </w:r>
    </w:p>
    <w:p>
      <w:pPr>
        <w:spacing w:after="140"/>
      </w:pPr>
      <w:r>
        <w:rPr>
          <w:rFonts w:ascii="Noto Sans" w:hAnsi="Noto Sans"/>
          <w:sz w:val="21"/>
        </w:rPr>
        <w:t>This fits together more neatly than we first assumed. DBIM asks for one primary colour group built from a key colour and its variants, with backgrounds and surfaces drawn from a functional palette. UX4G lets a department apply its own colours through Theme Craft. So UX4G provides the components and the means to theme them, and DBIM tells us what to theme them to.</w:t>
      </w:r>
    </w:p>
    <w:p>
      <w:pPr>
        <w:spacing w:after="140"/>
      </w:pPr>
      <w:r>
        <w:rPr>
          <w:rFonts w:ascii="Noto Sans" w:hAnsi="Noto Sans"/>
          <w:sz w:val="21"/>
        </w:rPr>
        <w:t>On typography the two already agree, since both specify Noto Sans.</w:t>
      </w:r>
    </w:p>
    <w:p>
      <w:pPr>
        <w:spacing w:after="140"/>
      </w:pPr>
      <w:r>
        <w:rPr>
          <w:rFonts w:ascii="Noto Sans" w:hAnsi="Noto Sans"/>
          <w:sz w:val="21"/>
        </w:rPr>
        <w:t>The only places they could point in different directions are a few structural rules in DBIM, such as the footer using the darkest shade of the key colour group, and icons using either the key colour or white. We have asked about those, and in the meantime we follow DBIM for identity and UX4G for everything else.</w:t>
      </w:r>
    </w:p>
    <w:p>
      <w:pPr>
        <w:spacing w:before="320" w:after="120"/>
      </w:pPr>
      <w:r>
        <w:rPr>
          <w:rFonts w:ascii="Noto Sans" w:hAnsi="Noto Sans"/>
          <w:b/>
          <w:color w:val="0373DF"/>
          <w:sz w:val="23"/>
        </w:rPr>
        <w:t>Build what UX4G does not yet cover</w:t>
      </w:r>
    </w:p>
    <w:p>
      <w:pPr>
        <w:spacing w:after="140"/>
      </w:pPr>
      <w:r>
        <w:rPr>
          <w:rFonts w:ascii="Noto Sans" w:hAnsi="Noto Sans"/>
          <w:sz w:val="21"/>
        </w:rPr>
        <w:t>A good share of our work is for officials rather than citizens: dense tables, dashboards, approval chains, maps and monitoring screens. UX4G 3.0 covers citizen service journeys well, and these sit outside that scope. We will build them on UX4G's foundations, record each one, and offer them back under clause 4. We would rather contribute something reusable than solve it only for ourselves.</w:t>
      </w:r>
    </w:p>
    <w:p>
      <w:pPr>
        <w:spacing w:before="320" w:after="120"/>
      </w:pPr>
      <w:r>
        <w:rPr>
          <w:rFonts w:ascii="Noto Sans" w:hAnsi="Noto Sans"/>
          <w:b/>
          <w:color w:val="0373DF"/>
          <w:sz w:val="23"/>
        </w:rPr>
        <w:t>The one obstacle we are raising</w:t>
      </w:r>
    </w:p>
    <w:p>
      <w:pPr>
        <w:spacing w:after="140"/>
      </w:pPr>
      <w:r>
        <w:rPr>
          <w:rFonts w:ascii="Noto Sans" w:hAnsi="Noto Sans"/>
          <w:sz w:val="21"/>
        </w:rPr>
        <w:t>UX4G ships its web version in a form intended for a different way of building sites than the one our portals use. Adding it directly would disturb pages that already work. On the build side we therefore match UX4G's specifications rather than loading its files, and we would like to offer that work back as a contribution.</w:t>
      </w:r>
    </w:p>
    <w:p>
      <w:pPr>
        <w:spacing w:after="140"/>
      </w:pPr>
      <w:r>
        <w:rPr>
          <w:rFonts w:ascii="Noto Sans" w:hAnsi="Noto Sans"/>
          <w:sz w:val="21"/>
        </w:rPr>
        <w:t>We are raising this under clause 2 not to seek an exemption, but because building something useful seems a better answer than asking to be excused.</w:t>
      </w:r>
    </w:p>
    <w:p/>
    <w:p>
      <w:pPr>
        <w:spacing w:before="320" w:after="120"/>
      </w:pPr>
      <w:r>
        <w:rPr>
          <w:rFonts w:ascii="Noto Sans" w:hAnsi="Noto Sans"/>
          <w:b/>
          <w:color w:val="1F3864"/>
          <w:sz w:val="27"/>
        </w:rPr>
        <w:t>What would help to have settled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fill="1F3864"/>
          </w:tcPr>
          <w:p>
            <w:pPr>
              <w:spacing w:after="40"/>
            </w:pPr>
            <w:r>
              <w:rPr>
                <w:rFonts w:ascii="Noto Sans" w:hAnsi="Noto Sans"/>
                <w:b/>
                <w:color w:val="FFFFFF"/>
                <w:sz w:val="17"/>
              </w:rPr>
              <w:t>By</w:t>
            </w:r>
          </w:p>
        </w:tc>
        <w:tc>
          <w:tcPr>
            <w:tcW w:type="dxa" w:w="3408"/>
            <w:shd w:val="clear" w:fill="1F3864"/>
          </w:tcPr>
          <w:p>
            <w:pPr>
              <w:spacing w:after="40"/>
            </w:pPr>
            <w:r>
              <w:rPr>
                <w:rFonts w:ascii="Noto Sans" w:hAnsi="Noto Sans"/>
                <w:b/>
                <w:color w:val="FFFFFF"/>
                <w:sz w:val="17"/>
              </w:rPr>
              <w:t>What</w:t>
            </w:r>
          </w:p>
        </w:tc>
        <w:tc>
          <w:tcPr>
            <w:tcW w:type="dxa" w:w="3408"/>
            <w:shd w:val="clear" w:fill="1F3864"/>
          </w:tcPr>
          <w:p>
            <w:pPr>
              <w:spacing w:after="40"/>
            </w:pPr>
            <w:r>
              <w:rPr>
                <w:rFonts w:ascii="Noto Sans" w:hAnsi="Noto Sans"/>
                <w:b/>
                <w:color w:val="FFFFFF"/>
                <w:sz w:val="17"/>
              </w:rPr>
              <w:t>Affects</w:t>
            </w:r>
          </w:p>
        </w:tc>
      </w:tr>
      <w:tr>
        <w:tc>
          <w:tcPr>
            <w:tcW w:type="dxa" w:w="3408"/>
          </w:tcPr>
          <w:p>
            <w:pPr>
              <w:spacing w:after="40"/>
            </w:pPr>
            <w:r>
              <w:rPr>
                <w:rFonts w:ascii="Noto Sans" w:hAnsi="Noto Sans"/>
                <w:b w:val="0"/>
                <w:sz w:val="17"/>
              </w:rPr>
              <w:t>07 Aug</w:t>
            </w:r>
          </w:p>
        </w:tc>
        <w:tc>
          <w:tcPr>
            <w:tcW w:type="dxa" w:w="3408"/>
          </w:tcPr>
          <w:p>
            <w:pPr>
              <w:spacing w:after="40"/>
            </w:pPr>
            <w:r>
              <w:rPr>
                <w:rFonts w:ascii="Noto Sans" w:hAnsi="Noto Sans"/>
                <w:b w:val="0"/>
                <w:sz w:val="17"/>
              </w:rPr>
              <w:t>The prescribed weekly reporting format</w:t>
            </w:r>
          </w:p>
        </w:tc>
        <w:tc>
          <w:tcPr>
            <w:tcW w:type="dxa" w:w="3408"/>
          </w:tcPr>
          <w:p>
            <w:pPr>
              <w:spacing w:after="40"/>
            </w:pPr>
            <w:r>
              <w:rPr>
                <w:rFonts w:ascii="Noto Sans" w:hAnsi="Noto Sans"/>
                <w:b w:val="0"/>
                <w:sz w:val="17"/>
              </w:rPr>
              <w:t>The first report</w:t>
            </w:r>
          </w:p>
        </w:tc>
      </w:tr>
      <w:tr>
        <w:tc>
          <w:tcPr>
            <w:tcW w:type="dxa" w:w="3408"/>
          </w:tcPr>
          <w:p>
            <w:pPr>
              <w:spacing w:after="40"/>
            </w:pPr>
            <w:r>
              <w:rPr>
                <w:rFonts w:ascii="Noto Sans" w:hAnsi="Noto Sans"/>
                <w:b w:val="0"/>
                <w:sz w:val="17"/>
              </w:rPr>
              <w:t>18 Aug</w:t>
            </w:r>
          </w:p>
        </w:tc>
        <w:tc>
          <w:tcPr>
            <w:tcW w:type="dxa" w:w="3408"/>
          </w:tcPr>
          <w:p>
            <w:pPr>
              <w:spacing w:after="40"/>
            </w:pPr>
            <w:r>
              <w:rPr>
                <w:rFonts w:ascii="Noto Sans" w:hAnsi="Noto Sans"/>
                <w:b w:val="0"/>
                <w:sz w:val="17"/>
              </w:rPr>
              <w:t>Whether a 2.0 to 3.0 mapping already exists</w:t>
            </w:r>
          </w:p>
        </w:tc>
        <w:tc>
          <w:tcPr>
            <w:tcW w:type="dxa" w:w="3408"/>
          </w:tcPr>
          <w:p>
            <w:pPr>
              <w:spacing w:after="40"/>
            </w:pPr>
            <w:r>
              <w:rPr>
                <w:rFonts w:ascii="Noto Sans" w:hAnsi="Noto Sans"/>
                <w:b w:val="0"/>
                <w:sz w:val="17"/>
              </w:rPr>
              <w:t>How we upgrade the library</w:t>
            </w:r>
          </w:p>
        </w:tc>
      </w:tr>
      <w:tr>
        <w:tc>
          <w:tcPr>
            <w:tcW w:type="dxa" w:w="3408"/>
          </w:tcPr>
          <w:p>
            <w:pPr>
              <w:spacing w:after="40"/>
            </w:pPr>
            <w:r>
              <w:rPr>
                <w:rFonts w:ascii="Noto Sans" w:hAnsi="Noto Sans"/>
                <w:b w:val="0"/>
                <w:sz w:val="17"/>
              </w:rPr>
              <w:t>18 Aug</w:t>
            </w:r>
          </w:p>
        </w:tc>
        <w:tc>
          <w:tcPr>
            <w:tcW w:type="dxa" w:w="3408"/>
          </w:tcPr>
          <w:p>
            <w:pPr>
              <w:spacing w:after="40"/>
            </w:pPr>
            <w:r>
              <w:rPr>
                <w:rFonts w:ascii="Noto Sans" w:hAnsi="Noto Sans"/>
                <w:b w:val="0"/>
                <w:sz w:val="17"/>
              </w:rPr>
              <w:t>How adoption will be checked, and who confirms it</w:t>
            </w:r>
          </w:p>
        </w:tc>
        <w:tc>
          <w:tcPr>
            <w:tcW w:type="dxa" w:w="3408"/>
          </w:tcPr>
          <w:p>
            <w:pPr>
              <w:spacing w:after="40"/>
            </w:pPr>
            <w:r>
              <w:rPr>
                <w:rFonts w:ascii="Noto Sans" w:hAnsi="Noto Sans"/>
                <w:b w:val="0"/>
                <w:sz w:val="17"/>
              </w:rPr>
              <w:t>What we build towards</w:t>
            </w:r>
          </w:p>
        </w:tc>
      </w:tr>
      <w:tr>
        <w:tc>
          <w:tcPr>
            <w:tcW w:type="dxa" w:w="3408"/>
          </w:tcPr>
          <w:p>
            <w:pPr>
              <w:spacing w:after="40"/>
            </w:pPr>
            <w:r>
              <w:rPr>
                <w:rFonts w:ascii="Noto Sans" w:hAnsi="Noto Sans"/>
                <w:b w:val="0"/>
                <w:sz w:val="17"/>
              </w:rPr>
              <w:t>18 Aug</w:t>
            </w:r>
          </w:p>
        </w:tc>
        <w:tc>
          <w:tcPr>
            <w:tcW w:type="dxa" w:w="3408"/>
          </w:tcPr>
          <w:p>
            <w:pPr>
              <w:spacing w:after="40"/>
            </w:pPr>
            <w:r>
              <w:rPr>
                <w:rFonts w:ascii="Noto Sans" w:hAnsi="Noto Sans"/>
                <w:b w:val="0"/>
                <w:sz w:val="17"/>
              </w:rPr>
              <w:t>Whether already-built portals are in scope, or new work only</w:t>
            </w:r>
          </w:p>
        </w:tc>
        <w:tc>
          <w:tcPr>
            <w:tcW w:type="dxa" w:w="3408"/>
          </w:tcPr>
          <w:p>
            <w:pPr>
              <w:spacing w:after="40"/>
            </w:pPr>
            <w:r>
              <w:rPr>
                <w:rFonts w:ascii="Noto Sans" w:hAnsi="Noto Sans"/>
                <w:b w:val="0"/>
                <w:sz w:val="17"/>
              </w:rPr>
              <w:t>The size of the job</w:t>
            </w:r>
          </w:p>
        </w:tc>
      </w:tr>
    </w:tbl>
    <w:p>
      <w:pPr>
        <w:spacing w:after="80"/>
      </w:pPr>
    </w:p>
    <w:p>
      <w:pPr>
        <w:spacing w:after="140"/>
      </w:pPr>
      <w:r>
        <w:rPr>
          <w:rFonts w:ascii="Noto Sans" w:hAnsi="Noto Sans"/>
          <w:sz w:val="21"/>
        </w:rPr>
        <w:t>Where something is still open on its date, we proceed on the assumption recorded in the questionnaire and note it in the register. We would rather keep moving and document our reasoning than pause the work.</w:t>
      </w:r>
    </w:p>
    <w:p/>
    <w:p>
      <w:pPr>
        <w:spacing w:before="320" w:after="120"/>
      </w:pPr>
      <w:r>
        <w:rPr>
          <w:rFonts w:ascii="Noto Sans" w:hAnsi="Noto Sans"/>
          <w:b/>
          <w:color w:val="1F3864"/>
          <w:sz w:val="27"/>
        </w:rPr>
        <w:t>Plan by phase</w:t>
      </w:r>
    </w:p>
    <w:p>
      <w:pPr>
        <w:spacing w:after="140"/>
      </w:pPr>
      <w:r>
        <w:rPr>
          <w:rFonts w:ascii="Noto Sans" w:hAnsi="Noto Sans"/>
          <w:sz w:val="21"/>
        </w:rPr>
        <w:t>Thirteen weeks, 04 August to 31 October.</w:t>
      </w:r>
    </w:p>
    <w:p>
      <w:pPr>
        <w:spacing w:after="140"/>
      </w:pPr>
      <w:r>
        <w:rPr>
          <w:rFonts w:ascii="Noto Sans" w:hAnsi="Noto Sans"/>
          <w:b/>
          <w:sz w:val="21"/>
        </w:rPr>
        <w:t>Week 1. Measure and start.</w:t>
      </w:r>
      <w:r>
        <w:rPr>
          <w:rFonts w:ascii="Noto Sans" w:hAnsi="Noto Sans"/>
          <w:sz w:val="21"/>
        </w:rPr>
        <w:t xml:space="preserve"> Measure how much of our Figma work uses library components. Send the questionnaire. Raise the three most useful questions on the Thursday call. File the first weekly report.</w:t>
      </w:r>
    </w:p>
    <w:p>
      <w:pPr>
        <w:spacing w:after="140"/>
      </w:pPr>
      <w:r>
        <w:rPr>
          <w:rFonts w:ascii="Noto Sans" w:hAnsi="Noto Sans"/>
          <w:b/>
          <w:sz w:val="21"/>
        </w:rPr>
        <w:t>Weeks 2 to 3. Set up the library.</w:t>
      </w:r>
      <w:r>
        <w:rPr>
          <w:rFonts w:ascii="Noto Sans" w:hAnsi="Noto Sans"/>
          <w:sz w:val="21"/>
        </w:rPr>
        <w:t xml:space="preserve"> Duplicate the UX4G 3.0 kit and publish it as our library. Apply the ministry's key colour group through Theme Craft. Check colour contrast across every combination. Raise the clause 2 point.</w:t>
      </w:r>
    </w:p>
    <w:p>
      <w:pPr>
        <w:spacing w:after="140"/>
      </w:pPr>
      <w:r>
        <w:rPr>
          <w:rFonts w:ascii="Noto Sans" w:hAnsi="Noto Sans"/>
          <w:b/>
          <w:sz w:val="21"/>
        </w:rPr>
        <w:t>Weeks 4 to 6. Map and upgrade.</w:t>
      </w:r>
      <w:r>
        <w:rPr>
          <w:rFonts w:ascii="Noto Sans" w:hAnsi="Noto Sans"/>
          <w:sz w:val="21"/>
        </w:rPr>
        <w:t xml:space="preserve"> Compare our 2.0 components against 3.0 and write the mapping. Upgrade the library in place where names allow, rebuild where they do not, and check a sample of every portal to confirm nothing has become unlinked. Begin building the components UX4G does not cover.</w:t>
      </w:r>
    </w:p>
    <w:p>
      <w:pPr>
        <w:spacing w:after="140"/>
      </w:pPr>
      <w:r>
        <w:rPr>
          <w:rFonts w:ascii="Noto Sans" w:hAnsi="Noto Sans"/>
          <w:b/>
          <w:sz w:val="21"/>
        </w:rPr>
        <w:t>Weeks 7 to 11. Work through the portals.</w:t>
      </w:r>
      <w:r>
        <w:rPr>
          <w:rFonts w:ascii="Noto Sans" w:hAnsi="Noto Sans"/>
          <w:sz w:val="21"/>
        </w:rPr>
        <w:t xml:space="preserve"> Start with the portal that already uses our shared components most, so the method is proven before it is applied widely. Then the website, then the portals with the most to bring across.</w:t>
      </w:r>
    </w:p>
    <w:p>
      <w:pPr>
        <w:spacing w:after="140"/>
      </w:pPr>
      <w:r>
        <w:rPr>
          <w:rFonts w:ascii="Noto Sans" w:hAnsi="Noto Sans"/>
          <w:b/>
          <w:sz w:val="21"/>
        </w:rPr>
        <w:t>Week 8 is a checkpoint.</w:t>
      </w:r>
      <w:r>
        <w:rPr>
          <w:rFonts w:ascii="Noto Sans" w:hAnsi="Noto Sans"/>
          <w:sz w:val="21"/>
        </w:rPr>
        <w:t xml:space="preserve"> If the rate we are actually achieving will not reach the deadline, we would rather say so then, with figures, than late in October.</w:t>
      </w:r>
    </w:p>
    <w:p>
      <w:pPr>
        <w:spacing w:after="140"/>
      </w:pPr>
      <w:r>
        <w:rPr>
          <w:rFonts w:ascii="Noto Sans" w:hAnsi="Noto Sans"/>
          <w:b/>
          <w:sz w:val="21"/>
        </w:rPr>
        <w:t>Weeks 12 to 13. Contribute and close.</w:t>
      </w:r>
      <w:r>
        <w:rPr>
          <w:rFonts w:ascii="Noto Sans" w:hAnsi="Noto Sans"/>
          <w:sz w:val="21"/>
        </w:rPr>
        <w:t xml:space="preserve"> Package the components we have built and submit them. Publish the decision register. Final report.</w:t>
      </w:r>
    </w:p>
    <w:p/>
    <w:p>
      <w:pPr>
        <w:spacing w:before="320" w:after="120"/>
      </w:pPr>
      <w:r>
        <w:rPr>
          <w:rFonts w:ascii="Noto Sans" w:hAnsi="Noto Sans"/>
          <w:b/>
          <w:color w:val="1F3864"/>
          <w:sz w:val="27"/>
        </w:rPr>
        <w:t>Reporting</w:t>
      </w:r>
    </w:p>
    <w:p>
      <w:pPr>
        <w:spacing w:after="140"/>
      </w:pPr>
      <w:r>
        <w:rPr>
          <w:rFonts w:ascii="Noto Sans" w:hAnsi="Noto Sans"/>
          <w:sz w:val="21"/>
        </w:rPr>
        <w:t>What counts as "using UX4G" has not yet been defined, and it is the first thing we have asked about. Until it is settled we will report the most objective measure we can produce: how closely our components match UX4G's specifications, measured rather than judged, with the method shared alongside each report.</w:t>
      </w:r>
    </w:p>
    <w:p>
      <w:pPr>
        <w:spacing w:after="140"/>
      </w:pPr>
      <w:r>
        <w:rPr>
          <w:rFonts w:ascii="Noto Sans" w:hAnsi="Noto Sans"/>
          <w:sz w:val="21"/>
        </w:rPr>
        <w:t>The figure will start modest and rise. The trend is the useful part.</w:t>
      </w:r>
    </w:p>
    <w:p/>
    <w:p>
      <w:pPr>
        <w:spacing w:before="320" w:after="120"/>
      </w:pPr>
      <w:r>
        <w:rPr>
          <w:rFonts w:ascii="Noto Sans" w:hAnsi="Noto Sans"/>
          <w:b/>
          <w:color w:val="1F3864"/>
          <w:sz w:val="27"/>
        </w:rPr>
        <w:t>The decision register</w:t>
      </w:r>
    </w:p>
    <w:p>
      <w:pPr>
        <w:spacing w:after="140"/>
      </w:pPr>
      <w:r>
        <w:rPr>
          <w:rFonts w:ascii="Noto Sans" w:hAnsi="Noto Sans"/>
          <w:sz w:val="21"/>
        </w:rPr>
        <w:t>Every choice we make that differs from UX4G as supplied, and every question that goes unanswered, is recorded with a date and a reason.</w:t>
      </w:r>
    </w:p>
    <w:p>
      <w:pPr>
        <w:spacing w:after="140"/>
      </w:pPr>
      <w:r>
        <w:rPr>
          <w:rFonts w:ascii="Noto Sans" w:hAnsi="Noto Sans"/>
          <w:sz w:val="21"/>
        </w:rPr>
        <w:t>It means that if anyone asks later why something looks the way it does, there is a written answer rather than a recollection. It is shared with each weekly report so nothing arrives as a surprise.</w:t>
      </w:r>
    </w:p>
    <w:p/>
    <w:p>
      <w:pPr>
        <w:spacing w:before="320" w:after="120"/>
      </w:pPr>
      <w:r>
        <w:rPr>
          <w:rFonts w:ascii="Noto Sans" w:hAnsi="Noto Sans"/>
          <w:b/>
          <w:color w:val="1F3864"/>
          <w:sz w:val="27"/>
        </w:rPr>
        <w:t>Risks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fill="1F3864"/>
          </w:tcPr>
          <w:p>
            <w:pPr>
              <w:spacing w:after="40"/>
            </w:pPr>
            <w:r>
              <w:rPr>
                <w:rFonts w:ascii="Noto Sans" w:hAnsi="Noto Sans"/>
                <w:b/>
                <w:color w:val="FFFFFF"/>
                <w:sz w:val="17"/>
              </w:rPr>
              <w:t>Risk</w:t>
            </w:r>
          </w:p>
        </w:tc>
        <w:tc>
          <w:tcPr>
            <w:tcW w:type="dxa" w:w="2556"/>
            <w:shd w:val="clear" w:fill="1F3864"/>
          </w:tcPr>
          <w:p>
            <w:pPr>
              <w:spacing w:after="40"/>
            </w:pPr>
            <w:r>
              <w:rPr>
                <w:rFonts w:ascii="Noto Sans" w:hAnsi="Noto Sans"/>
                <w:b/>
                <w:color w:val="FFFFFF"/>
                <w:sz w:val="17"/>
              </w:rPr>
              <w:t>Likelihood</w:t>
            </w:r>
          </w:p>
        </w:tc>
        <w:tc>
          <w:tcPr>
            <w:tcW w:type="dxa" w:w="2556"/>
            <w:shd w:val="clear" w:fill="1F3864"/>
          </w:tcPr>
          <w:p>
            <w:pPr>
              <w:spacing w:after="40"/>
            </w:pPr>
            <w:r>
              <w:rPr>
                <w:rFonts w:ascii="Noto Sans" w:hAnsi="Noto Sans"/>
                <w:b/>
                <w:color w:val="FFFFFF"/>
                <w:sz w:val="17"/>
              </w:rPr>
              <w:t>Impact</w:t>
            </w:r>
          </w:p>
        </w:tc>
        <w:tc>
          <w:tcPr>
            <w:tcW w:type="dxa" w:w="2556"/>
            <w:shd w:val="clear" w:fill="1F3864"/>
          </w:tcPr>
          <w:p>
            <w:pPr>
              <w:spacing w:after="40"/>
            </w:pPr>
            <w:r>
              <w:rPr>
                <w:rFonts w:ascii="Noto Sans" w:hAnsi="Noto Sans"/>
                <w:b/>
                <w:color w:val="FFFFFF"/>
                <w:sz w:val="17"/>
              </w:rPr>
              <w:t>What we do about it</w:t>
            </w:r>
          </w:p>
        </w:tc>
      </w:tr>
      <w:tr>
        <w:tc>
          <w:tcPr>
            <w:tcW w:type="dxa" w:w="2556"/>
          </w:tcPr>
          <w:p>
            <w:pPr>
              <w:spacing w:after="40"/>
            </w:pPr>
            <w:r>
              <w:rPr>
                <w:rFonts w:ascii="Noto Sans" w:hAnsi="Noto Sans"/>
                <w:b w:val="0"/>
                <w:sz w:val="17"/>
              </w:rPr>
              <w:t>Replacing the library unlinks components across our files, because 2.0 and 3.0 names differ</w:t>
            </w:r>
          </w:p>
        </w:tc>
        <w:tc>
          <w:tcPr>
            <w:tcW w:type="dxa" w:w="2556"/>
          </w:tcPr>
          <w:p>
            <w:pPr>
              <w:spacing w:after="40"/>
            </w:pPr>
            <w:r>
              <w:rPr>
                <w:rFonts w:ascii="Noto Sans" w:hAnsi="Noto Sans"/>
                <w:b w:val="0"/>
                <w:sz w:val="17"/>
              </w:rPr>
              <w:t>Medium</w:t>
            </w:r>
          </w:p>
        </w:tc>
        <w:tc>
          <w:tcPr>
            <w:tcW w:type="dxa" w:w="2556"/>
          </w:tcPr>
          <w:p>
            <w:pPr>
              <w:spacing w:after="40"/>
            </w:pPr>
            <w:r>
              <w:rPr>
                <w:rFonts w:ascii="Noto Sans" w:hAnsi="Noto Sans"/>
                <w:b w:val="0"/>
                <w:sz w:val="17"/>
              </w:rPr>
              <w:t>Very high</w:t>
            </w:r>
          </w:p>
        </w:tc>
        <w:tc>
          <w:tcPr>
            <w:tcW w:type="dxa" w:w="2556"/>
          </w:tcPr>
          <w:p>
            <w:pPr>
              <w:spacing w:after="40"/>
            </w:pPr>
            <w:r>
              <w:rPr>
                <w:rFonts w:ascii="Noto Sans" w:hAnsi="Noto Sans"/>
                <w:b w:val="0"/>
                <w:sz w:val="17"/>
              </w:rPr>
              <w:t>Map the versions first, upgrade in place, and test on one portal before going wider</w:t>
            </w:r>
          </w:p>
        </w:tc>
      </w:tr>
      <w:tr>
        <w:tc>
          <w:tcPr>
            <w:tcW w:type="dxa" w:w="2556"/>
          </w:tcPr>
          <w:p>
            <w:pPr>
              <w:spacing w:after="40"/>
            </w:pPr>
            <w:r>
              <w:rPr>
                <w:rFonts w:ascii="Noto Sans" w:hAnsi="Noto Sans"/>
                <w:b w:val="0"/>
                <w:sz w:val="17"/>
              </w:rPr>
              <w:t>Fewer of our Figma screens use library components than hoped</w:t>
            </w:r>
          </w:p>
        </w:tc>
        <w:tc>
          <w:tcPr>
            <w:tcW w:type="dxa" w:w="2556"/>
          </w:tcPr>
          <w:p>
            <w:pPr>
              <w:spacing w:after="40"/>
            </w:pPr>
            <w:r>
              <w:rPr>
                <w:rFonts w:ascii="Noto Sans" w:hAnsi="Noto Sans"/>
                <w:b w:val="0"/>
                <w:sz w:val="17"/>
              </w:rPr>
              <w:t>High</w:t>
            </w:r>
          </w:p>
        </w:tc>
        <w:tc>
          <w:tcPr>
            <w:tcW w:type="dxa" w:w="2556"/>
          </w:tcPr>
          <w:p>
            <w:pPr>
              <w:spacing w:after="40"/>
            </w:pPr>
            <w:r>
              <w:rPr>
                <w:rFonts w:ascii="Noto Sans" w:hAnsi="Noto Sans"/>
                <w:b w:val="0"/>
                <w:sz w:val="17"/>
              </w:rPr>
              <w:t>High</w:t>
            </w:r>
          </w:p>
        </w:tc>
        <w:tc>
          <w:tcPr>
            <w:tcW w:type="dxa" w:w="2556"/>
          </w:tcPr>
          <w:p>
            <w:pPr>
              <w:spacing w:after="40"/>
            </w:pPr>
            <w:r>
              <w:rPr>
                <w:rFonts w:ascii="Noto Sans" w:hAnsi="Noto Sans"/>
                <w:b w:val="0"/>
                <w:sz w:val="17"/>
              </w:rPr>
              <w:t>Measured in week 1, before we commit to a rate</w:t>
            </w:r>
          </w:p>
        </w:tc>
      </w:tr>
      <w:tr>
        <w:tc>
          <w:tcPr>
            <w:tcW w:type="dxa" w:w="2556"/>
          </w:tcPr>
          <w:p>
            <w:pPr>
              <w:spacing w:after="40"/>
            </w:pPr>
            <w:r>
              <w:rPr>
                <w:rFonts w:ascii="Noto Sans" w:hAnsi="Noto Sans"/>
                <w:b w:val="0"/>
                <w:sz w:val="17"/>
              </w:rPr>
              <w:t>What counts as compliant is defined late</w:t>
            </w:r>
          </w:p>
        </w:tc>
        <w:tc>
          <w:tcPr>
            <w:tcW w:type="dxa" w:w="2556"/>
          </w:tcPr>
          <w:p>
            <w:pPr>
              <w:spacing w:after="40"/>
            </w:pPr>
            <w:r>
              <w:rPr>
                <w:rFonts w:ascii="Noto Sans" w:hAnsi="Noto Sans"/>
                <w:b w:val="0"/>
                <w:sz w:val="17"/>
              </w:rPr>
              <w:t>Medium</w:t>
            </w:r>
          </w:p>
        </w:tc>
        <w:tc>
          <w:tcPr>
            <w:tcW w:type="dxa" w:w="2556"/>
          </w:tcPr>
          <w:p>
            <w:pPr>
              <w:spacing w:after="40"/>
            </w:pPr>
            <w:r>
              <w:rPr>
                <w:rFonts w:ascii="Noto Sans" w:hAnsi="Noto Sans"/>
                <w:b w:val="0"/>
                <w:sz w:val="17"/>
              </w:rPr>
              <w:t>High</w:t>
            </w:r>
          </w:p>
        </w:tc>
        <w:tc>
          <w:tcPr>
            <w:tcW w:type="dxa" w:w="2556"/>
          </w:tcPr>
          <w:p>
            <w:pPr>
              <w:spacing w:after="40"/>
            </w:pPr>
            <w:r>
              <w:rPr>
                <w:rFonts w:ascii="Noto Sans" w:hAnsi="Noto Sans"/>
                <w:b w:val="0"/>
                <w:sz w:val="17"/>
              </w:rPr>
              <w:t>Report the most objective measure available and keep the register, so any definition can be evidenced afterwards</w:t>
            </w:r>
          </w:p>
        </w:tc>
      </w:tr>
      <w:tr>
        <w:tc>
          <w:tcPr>
            <w:tcW w:type="dxa" w:w="2556"/>
          </w:tcPr>
          <w:p>
            <w:pPr>
              <w:spacing w:after="40"/>
            </w:pPr>
            <w:r>
              <w:rPr>
                <w:rFonts w:ascii="Noto Sans" w:hAnsi="Noto Sans"/>
                <w:b w:val="0"/>
                <w:sz w:val="17"/>
              </w:rPr>
              <w:t>UX4G has nothing yet for tables, dashboards, charts or maps</w:t>
            </w:r>
          </w:p>
        </w:tc>
        <w:tc>
          <w:tcPr>
            <w:tcW w:type="dxa" w:w="2556"/>
          </w:tcPr>
          <w:p>
            <w:pPr>
              <w:spacing w:after="40"/>
            </w:pPr>
            <w:r>
              <w:rPr>
                <w:rFonts w:ascii="Noto Sans" w:hAnsi="Noto Sans"/>
                <w:b w:val="0"/>
                <w:sz w:val="17"/>
              </w:rPr>
              <w:t>High</w:t>
            </w:r>
          </w:p>
        </w:tc>
        <w:tc>
          <w:tcPr>
            <w:tcW w:type="dxa" w:w="2556"/>
          </w:tcPr>
          <w:p>
            <w:pPr>
              <w:spacing w:after="40"/>
            </w:pPr>
            <w:r>
              <w:rPr>
                <w:rFonts w:ascii="Noto Sans" w:hAnsi="Noto Sans"/>
                <w:b w:val="0"/>
                <w:sz w:val="17"/>
              </w:rPr>
              <w:t>High</w:t>
            </w:r>
          </w:p>
        </w:tc>
        <w:tc>
          <w:tcPr>
            <w:tcW w:type="dxa" w:w="2556"/>
          </w:tcPr>
          <w:p>
            <w:pPr>
              <w:spacing w:after="40"/>
            </w:pPr>
            <w:r>
              <w:rPr>
                <w:rFonts w:ascii="Noto Sans" w:hAnsi="Noto Sans"/>
                <w:b w:val="0"/>
                <w:sz w:val="17"/>
              </w:rPr>
              <w:t>Build on its foundations, record each, offer back</w:t>
            </w:r>
          </w:p>
        </w:tc>
      </w:tr>
      <w:tr>
        <w:tc>
          <w:tcPr>
            <w:tcW w:type="dxa" w:w="2556"/>
          </w:tcPr>
          <w:p>
            <w:pPr>
              <w:spacing w:after="40"/>
            </w:pPr>
            <w:r>
              <w:rPr>
                <w:rFonts w:ascii="Noto Sans" w:hAnsi="Noto Sans"/>
                <w:b w:val="0"/>
                <w:sz w:val="17"/>
              </w:rPr>
              <w:t>A newer UX4G version lands mid-project</w:t>
            </w:r>
          </w:p>
        </w:tc>
        <w:tc>
          <w:tcPr>
            <w:tcW w:type="dxa" w:w="2556"/>
          </w:tcPr>
          <w:p>
            <w:pPr>
              <w:spacing w:after="40"/>
            </w:pPr>
            <w:r>
              <w:rPr>
                <w:rFonts w:ascii="Noto Sans" w:hAnsi="Noto Sans"/>
                <w:b w:val="0"/>
                <w:sz w:val="17"/>
              </w:rPr>
              <w:t>Medium</w:t>
            </w:r>
          </w:p>
        </w:tc>
        <w:tc>
          <w:tcPr>
            <w:tcW w:type="dxa" w:w="2556"/>
          </w:tcPr>
          <w:p>
            <w:pPr>
              <w:spacing w:after="40"/>
            </w:pPr>
            <w:r>
              <w:rPr>
                <w:rFonts w:ascii="Noto Sans" w:hAnsi="Noto Sans"/>
                <w:b w:val="0"/>
                <w:sz w:val="17"/>
              </w:rPr>
              <w:t>High</w:t>
            </w:r>
          </w:p>
        </w:tc>
        <w:tc>
          <w:tcPr>
            <w:tcW w:type="dxa" w:w="2556"/>
          </w:tcPr>
          <w:p>
            <w:pPr>
              <w:spacing w:after="40"/>
            </w:pPr>
            <w:r>
              <w:rPr>
                <w:rFonts w:ascii="Noto Sans" w:hAnsi="Noto Sans"/>
                <w:b w:val="0"/>
                <w:sz w:val="17"/>
              </w:rPr>
              <w:t>Finish against 3.0 and treat the upgrade as separate work</w:t>
            </w:r>
          </w:p>
        </w:tc>
      </w:tr>
      <w:tr>
        <w:tc>
          <w:tcPr>
            <w:tcW w:type="dxa" w:w="2556"/>
          </w:tcPr>
          <w:p>
            <w:pPr>
              <w:spacing w:after="40"/>
            </w:pPr>
            <w:r>
              <w:rPr>
                <w:rFonts w:ascii="Noto Sans" w:hAnsi="Noto Sans"/>
                <w:b w:val="0"/>
                <w:sz w:val="17"/>
              </w:rPr>
              <w:t>Structural DBIM colour rules conflict with UX4G component styling</w:t>
            </w:r>
          </w:p>
        </w:tc>
        <w:tc>
          <w:tcPr>
            <w:tcW w:type="dxa" w:w="2556"/>
          </w:tcPr>
          <w:p>
            <w:pPr>
              <w:spacing w:after="40"/>
            </w:pPr>
            <w:r>
              <w:rPr>
                <w:rFonts w:ascii="Noto Sans" w:hAnsi="Noto Sans"/>
                <w:b w:val="0"/>
                <w:sz w:val="17"/>
              </w:rPr>
              <w:t>Low</w:t>
            </w:r>
          </w:p>
        </w:tc>
        <w:tc>
          <w:tcPr>
            <w:tcW w:type="dxa" w:w="2556"/>
          </w:tcPr>
          <w:p>
            <w:pPr>
              <w:spacing w:after="40"/>
            </w:pPr>
            <w:r>
              <w:rPr>
                <w:rFonts w:ascii="Noto Sans" w:hAnsi="Noto Sans"/>
                <w:b w:val="0"/>
                <w:sz w:val="17"/>
              </w:rPr>
              <w:t>Medium</w:t>
            </w:r>
          </w:p>
        </w:tc>
        <w:tc>
          <w:tcPr>
            <w:tcW w:type="dxa" w:w="2556"/>
          </w:tcPr>
          <w:p>
            <w:pPr>
              <w:spacing w:after="40"/>
            </w:pPr>
            <w:r>
              <w:rPr>
                <w:rFonts w:ascii="Noto Sans" w:hAnsi="Noto Sans"/>
                <w:b w:val="0"/>
                <w:sz w:val="17"/>
              </w:rPr>
              <w:t>Asked in the questionnaire; following DBIM for identity in the meantime</w:t>
            </w:r>
          </w:p>
        </w:tc>
      </w:tr>
      <w:tr>
        <w:tc>
          <w:tcPr>
            <w:tcW w:type="dxa" w:w="2556"/>
          </w:tcPr>
          <w:p>
            <w:pPr>
              <w:spacing w:after="40"/>
            </w:pPr>
            <w:r>
              <w:rPr>
                <w:rFonts w:ascii="Noto Sans" w:hAnsi="Noto Sans"/>
                <w:b w:val="0"/>
                <w:sz w:val="17"/>
              </w:rPr>
              <w:t>Already-approved designs need approving again</w:t>
            </w:r>
          </w:p>
        </w:tc>
        <w:tc>
          <w:tcPr>
            <w:tcW w:type="dxa" w:w="2556"/>
          </w:tcPr>
          <w:p>
            <w:pPr>
              <w:spacing w:after="40"/>
            </w:pPr>
            <w:r>
              <w:rPr>
                <w:rFonts w:ascii="Noto Sans" w:hAnsi="Noto Sans"/>
                <w:b w:val="0"/>
                <w:sz w:val="17"/>
              </w:rPr>
              <w:t>Medium</w:t>
            </w:r>
          </w:p>
        </w:tc>
        <w:tc>
          <w:tcPr>
            <w:tcW w:type="dxa" w:w="2556"/>
          </w:tcPr>
          <w:p>
            <w:pPr>
              <w:spacing w:after="40"/>
            </w:pPr>
            <w:r>
              <w:rPr>
                <w:rFonts w:ascii="Noto Sans" w:hAnsi="Noto Sans"/>
                <w:b w:val="0"/>
                <w:sz w:val="17"/>
              </w:rPr>
              <w:t>High</w:t>
            </w:r>
          </w:p>
        </w:tc>
        <w:tc>
          <w:tcPr>
            <w:tcW w:type="dxa" w:w="2556"/>
          </w:tcPr>
          <w:p>
            <w:pPr>
              <w:spacing w:after="40"/>
            </w:pPr>
            <w:r>
              <w:rPr>
                <w:rFonts w:ascii="Noto Sans" w:hAnsi="Noto Sans"/>
                <w:b w:val="0"/>
                <w:sz w:val="17"/>
              </w:rPr>
              <w:t>Settle it before week 7</w:t>
            </w:r>
          </w:p>
        </w:tc>
      </w:tr>
      <w:tr>
        <w:tc>
          <w:tcPr>
            <w:tcW w:type="dxa" w:w="2556"/>
          </w:tcPr>
          <w:p>
            <w:pPr>
              <w:spacing w:after="40"/>
            </w:pPr>
            <w:r>
              <w:rPr>
                <w:rFonts w:ascii="Noto Sans" w:hAnsi="Noto Sans"/>
                <w:b w:val="0"/>
                <w:sz w:val="17"/>
              </w:rPr>
              <w:t>The report format differs from what is expected</w:t>
            </w:r>
          </w:p>
        </w:tc>
        <w:tc>
          <w:tcPr>
            <w:tcW w:type="dxa" w:w="2556"/>
          </w:tcPr>
          <w:p>
            <w:pPr>
              <w:spacing w:after="40"/>
            </w:pPr>
            <w:r>
              <w:rPr>
                <w:rFonts w:ascii="Noto Sans" w:hAnsi="Noto Sans"/>
                <w:b w:val="0"/>
                <w:sz w:val="17"/>
              </w:rPr>
              <w:t>Medium</w:t>
            </w:r>
          </w:p>
        </w:tc>
        <w:tc>
          <w:tcPr>
            <w:tcW w:type="dxa" w:w="2556"/>
          </w:tcPr>
          <w:p>
            <w:pPr>
              <w:spacing w:after="40"/>
            </w:pPr>
            <w:r>
              <w:rPr>
                <w:rFonts w:ascii="Noto Sans" w:hAnsi="Noto Sans"/>
                <w:b w:val="0"/>
                <w:sz w:val="17"/>
              </w:rPr>
              <w:t>High</w:t>
            </w:r>
          </w:p>
        </w:tc>
        <w:tc>
          <w:tcPr>
            <w:tcW w:type="dxa" w:w="2556"/>
          </w:tcPr>
          <w:p>
            <w:pPr>
              <w:spacing w:after="40"/>
            </w:pPr>
            <w:r>
              <w:rPr>
                <w:rFonts w:ascii="Noto Sans" w:hAnsi="Noto Sans"/>
                <w:b w:val="0"/>
                <w:sz w:val="17"/>
              </w:rPr>
              <w:t>Ask for the format before 07 August</w:t>
            </w:r>
          </w:p>
        </w:tc>
      </w:tr>
    </w:tbl>
    <w:p>
      <w:pPr>
        <w:spacing w:after="80"/>
      </w:pPr>
    </w:p>
    <w:p/>
    <w:p>
      <w:pPr>
        <w:spacing w:before="320" w:after="120"/>
      </w:pPr>
      <w:r>
        <w:rPr>
          <w:rFonts w:ascii="Noto Sans" w:hAnsi="Noto Sans"/>
          <w:b/>
          <w:color w:val="1F3864"/>
          <w:sz w:val="27"/>
        </w:rPr>
        <w:t>Capacity</w:t>
      </w:r>
    </w:p>
    <w:p>
      <w:pPr>
        <w:spacing w:after="140"/>
      </w:pPr>
      <w:r>
        <w:rPr>
          <w:rFonts w:ascii="Noto Sans" w:hAnsi="Noto Sans"/>
          <w:sz w:val="21"/>
        </w:rPr>
        <w:t>The plan currently assumes the design work is done by one person. That assumption came from a conversation about the build rather than the design, so we would like it confirmed before the timeline is fixed.</w:t>
      </w:r>
    </w:p>
    <w:p>
      <w:pPr>
        <w:spacing w:after="140"/>
      </w:pPr>
      <w:r>
        <w:rPr>
          <w:rFonts w:ascii="Noto Sans" w:hAnsi="Noto Sans"/>
          <w:sz w:val="21"/>
        </w:rPr>
        <w:t>The honest position is that the deadline is comfortably reachable if most screens inherit their styling from the upgraded library, and difficult if a large share have to be reworked individually. Week 1 tells us which of those we are in, and we will report it either way.</w:t>
      </w:r>
    </w:p>
    <w:p/>
    <w:p>
      <w:pPr>
        <w:spacing w:before="320" w:after="120"/>
      </w:pPr>
      <w:r>
        <w:rPr>
          <w:rFonts w:ascii="Noto Sans" w:hAnsi="Noto Sans"/>
          <w:b/>
          <w:color w:val="1F3864"/>
          <w:sz w:val="27"/>
        </w:rPr>
        <w:t>In short</w:t>
      </w:r>
    </w:p>
    <w:p>
      <w:pPr>
        <w:spacing w:after="140"/>
      </w:pPr>
      <w:r>
        <w:rPr>
          <w:rFonts w:ascii="Noto Sans" w:hAnsi="Noto Sans"/>
          <w:sz w:val="21"/>
        </w:rPr>
        <w:t>We are adopting UX4G 3.0, building on the 2.0 work already in place.</w:t>
      </w:r>
    </w:p>
    <w:p>
      <w:pPr>
        <w:spacing w:after="140"/>
      </w:pPr>
      <w:r>
        <w:rPr>
          <w:rFonts w:ascii="Noto Sans" w:hAnsi="Noto Sans"/>
          <w:sz w:val="21"/>
        </w:rPr>
        <w:t>One thing we would like recorded: the ministry's colour group, applied through UX4G's own theming tool, as DBIM requires.</w:t>
      </w:r>
    </w:p>
    <w:p>
      <w:pPr>
        <w:spacing w:after="140"/>
      </w:pPr>
      <w:r>
        <w:rPr>
          <w:rFonts w:ascii="Noto Sans" w:hAnsi="Noto Sans"/>
          <w:sz w:val="21"/>
        </w:rPr>
        <w:t>One obstacle we raise: UX4G's web version is not currently supplied in a form that suits how our portals are built. We would like to help close that gap rather than be excused from it.</w:t>
      </w:r>
    </w:p>
    <w:p>
      <w:pPr>
        <w:spacing w:after="140"/>
      </w:pPr>
      <w:r>
        <w:rPr>
          <w:rFonts w:ascii="Noto Sans" w:hAnsi="Noto Sans"/>
          <w:sz w:val="21"/>
        </w:rPr>
        <w:t>One thing that would help before we are measured: a definition of what "using UX4G" means, and who confirms it.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