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Noto Sans" w:hAnsi="Noto Sans"/>
          <w:b/>
          <w:color w:val="1F3864"/>
          <w:sz w:val="38"/>
        </w:rPr>
        <w:t>UX4G adoption: points to confirm</w:t>
      </w:r>
    </w:p>
    <w:tbl>
      <w:tblPr>
        <w:tblStyle w:val="TableGrid"/>
        <w:tblW w:type="auto" w:w="0"/>
        <w:jc w:val="center"/>
        <w:tblLook w:firstColumn="1" w:firstRow="1" w:lastColumn="0" w:lastRow="0" w:noHBand="0" w:noVBand="1" w:val="04A0"/>
      </w:tblPr>
      <w:tblGrid>
        <w:gridCol w:w="5112"/>
        <w:gridCol w:w="5112"/>
      </w:tblGrid>
      <w:tr>
        <w:tc>
          <w:tcPr>
            <w:tcW w:type="dxa" w:w="5112"/>
          </w:tcPr>
          <w:p>
            <w:pPr>
              <w:spacing w:after="40"/>
            </w:pPr>
          </w:p>
        </w:tc>
        <w:tc>
          <w:tcPr>
            <w:tcW w:type="dxa" w:w="5112"/>
          </w:tcPr>
          <w:p>
            <w:pPr>
              <w:spacing w:after="40"/>
            </w:pPr>
          </w:p>
        </w:tc>
      </w:tr>
      <w:tr>
        <w:tc>
          <w:tcPr>
            <w:tcW w:type="dxa" w:w="5112"/>
          </w:tcPr>
          <w:p>
            <w:pPr>
              <w:spacing w:after="40"/>
            </w:pPr>
            <w:r>
              <w:rPr>
                <w:rFonts w:ascii="Noto Sans" w:hAnsi="Noto Sans"/>
                <w:b/>
                <w:sz w:val="17"/>
              </w:rPr>
              <w:t>Prepared by</w:t>
            </w:r>
          </w:p>
        </w:tc>
        <w:tc>
          <w:tcPr>
            <w:tcW w:type="dxa" w:w="5112"/>
          </w:tcPr>
          <w:p>
            <w:pPr>
              <w:spacing w:after="40"/>
            </w:pPr>
            <w:r>
              <w:rPr>
                <w:rFonts w:ascii="Noto Sans" w:hAnsi="Noto Sans"/>
                <w:b w:val="0"/>
                <w:sz w:val="17"/>
              </w:rPr>
              <w:t>Akash Kumar, Designer</w:t>
            </w:r>
          </w:p>
        </w:tc>
      </w:tr>
      <w:tr>
        <w:tc>
          <w:tcPr>
            <w:tcW w:type="dxa" w:w="5112"/>
          </w:tcPr>
          <w:p>
            <w:pPr>
              <w:spacing w:after="40"/>
            </w:pPr>
            <w:r>
              <w:rPr>
                <w:rFonts w:ascii="Noto Sans" w:hAnsi="Noto Sans"/>
                <w:b/>
                <w:sz w:val="17"/>
              </w:rPr>
              <w:t>For</w:t>
            </w:r>
          </w:p>
        </w:tc>
        <w:tc>
          <w:tcPr>
            <w:tcW w:type="dxa" w:w="5112"/>
          </w:tcPr>
          <w:p>
            <w:pPr>
              <w:spacing w:after="40"/>
            </w:pPr>
            <w:r>
              <w:rPr>
                <w:rFonts w:ascii="Noto Sans" w:hAnsi="Noto Sans"/>
                <w:b w:val="0"/>
                <w:sz w:val="17"/>
              </w:rPr>
              <w:t>UX4G team</w:t>
            </w:r>
          </w:p>
        </w:tc>
      </w:tr>
      <w:tr>
        <w:tc>
          <w:tcPr>
            <w:tcW w:type="dxa" w:w="5112"/>
          </w:tcPr>
          <w:p>
            <w:pPr>
              <w:spacing w:after="40"/>
            </w:pPr>
            <w:r>
              <w:rPr>
                <w:rFonts w:ascii="Noto Sans" w:hAnsi="Noto Sans"/>
                <w:b/>
                <w:sz w:val="17"/>
              </w:rPr>
              <w:t>Date</w:t>
            </w:r>
          </w:p>
        </w:tc>
        <w:tc>
          <w:tcPr>
            <w:tcW w:type="dxa" w:w="5112"/>
          </w:tcPr>
          <w:p>
            <w:pPr>
              <w:spacing w:after="40"/>
            </w:pPr>
            <w:r>
              <w:rPr>
                <w:rFonts w:ascii="Noto Sans" w:hAnsi="Noto Sans"/>
                <w:b w:val="0"/>
                <w:sz w:val="17"/>
              </w:rPr>
              <w:t>04 August 2026</w:t>
            </w:r>
          </w:p>
        </w:tc>
      </w:tr>
      <w:tr>
        <w:tc>
          <w:tcPr>
            <w:tcW w:type="dxa" w:w="5112"/>
          </w:tcPr>
          <w:p>
            <w:pPr>
              <w:spacing w:after="40"/>
            </w:pPr>
            <w:r>
              <w:rPr>
                <w:rFonts w:ascii="Noto Sans" w:hAnsi="Noto Sans"/>
                <w:b/>
                <w:sz w:val="17"/>
              </w:rPr>
              <w:t>Reply helpful by</w:t>
            </w:r>
          </w:p>
        </w:tc>
        <w:tc>
          <w:tcPr>
            <w:tcW w:type="dxa" w:w="5112"/>
          </w:tcPr>
          <w:p>
            <w:pPr>
              <w:spacing w:after="40"/>
            </w:pPr>
            <w:r>
              <w:rPr>
                <w:rFonts w:ascii="Noto Sans" w:hAnsi="Noto Sans"/>
                <w:b w:val="0"/>
                <w:sz w:val="17"/>
              </w:rPr>
              <w:t>18 August 2026</w:t>
            </w:r>
          </w:p>
        </w:tc>
      </w:tr>
      <w:tr>
        <w:tc>
          <w:tcPr>
            <w:tcW w:type="dxa" w:w="5112"/>
          </w:tcPr>
          <w:p>
            <w:pPr>
              <w:spacing w:after="40"/>
            </w:pPr>
            <w:r>
              <w:rPr>
                <w:rFonts w:ascii="Noto Sans" w:hAnsi="Noto Sans"/>
                <w:b/>
                <w:sz w:val="17"/>
              </w:rPr>
              <w:t>Working against</w:t>
            </w:r>
          </w:p>
        </w:tc>
        <w:tc>
          <w:tcPr>
            <w:tcW w:type="dxa" w:w="5112"/>
          </w:tcPr>
          <w:p>
            <w:pPr>
              <w:spacing w:after="40"/>
            </w:pPr>
            <w:r>
              <w:rPr>
                <w:rFonts w:ascii="Noto Sans" w:hAnsi="Noto Sans"/>
                <w:b w:val="0"/>
                <w:sz w:val="17"/>
              </w:rPr>
              <w:t>UX4G Design System 3.0 (Figma kit)</w:t>
            </w:r>
          </w:p>
        </w:tc>
      </w:tr>
    </w:tbl>
    <w:p>
      <w:pPr>
        <w:spacing w:after="80"/>
      </w:pPr>
    </w:p>
    <w:p/>
    <w:p>
      <w:pPr>
        <w:spacing w:before="320" w:after="120"/>
      </w:pPr>
      <w:r>
        <w:rPr>
          <w:rFonts w:ascii="Noto Sans" w:hAnsi="Noto Sans"/>
          <w:b/>
          <w:color w:val="1F3864"/>
          <w:sz w:val="27"/>
        </w:rPr>
        <w:t>About this document</w:t>
      </w:r>
    </w:p>
    <w:p>
      <w:pPr>
        <w:spacing w:after="140"/>
      </w:pPr>
      <w:r>
        <w:rPr>
          <w:rFonts w:ascii="Noto Sans" w:hAnsi="Noto Sans"/>
          <w:sz w:val="21"/>
        </w:rPr>
        <w:t>We are moving the ministry's websites and portals onto UX4G 3.0. Our existing designs were already built on UX4G 2.0, so this is an upgrade rather than a fresh start, and most of what we need is already covered in your documentation.</w:t>
      </w:r>
    </w:p>
    <w:p>
      <w:pPr>
        <w:spacing w:after="140"/>
      </w:pPr>
      <w:r>
        <w:rPr>
          <w:rFonts w:ascii="Noto Sans" w:hAnsi="Noto Sans"/>
          <w:sz w:val="21"/>
        </w:rPr>
        <w:t>This document lists the small number of points the documentation does not cover, along with the decisions we have taken ourselves. We have kept it short on purpose.</w:t>
      </w:r>
    </w:p>
    <w:p>
      <w:pPr>
        <w:spacing w:after="140"/>
      </w:pPr>
      <w:r>
        <w:rPr>
          <w:rFonts w:ascii="Noto Sans" w:hAnsi="Noto Sans"/>
          <w:sz w:val="21"/>
        </w:rPr>
        <w:t>Each question notes what we plan to assume if we do not hear back. That is only so the work keeps moving and so there is a written record of our reasoning later. We would much rather have your guidance, and we are happy to talk any of it through on the Thursday call.</w:t>
      </w:r>
    </w:p>
    <w:p/>
    <w:p>
      <w:pPr>
        <w:spacing w:before="320" w:after="120"/>
      </w:pPr>
      <w:r>
        <w:rPr>
          <w:rFonts w:ascii="Noto Sans" w:hAnsi="Noto Sans"/>
          <w:b/>
          <w:color w:val="1F3864"/>
          <w:sz w:val="27"/>
        </w:rPr>
        <w:t>1. Moving from 2.0 to 3.0</w:t>
      </w:r>
    </w:p>
    <w:p>
      <w:pPr>
        <w:spacing w:after="140"/>
      </w:pPr>
      <w:r>
        <w:rPr>
          <w:rFonts w:ascii="Noto Sans" w:hAnsi="Noto Sans"/>
          <w:sz w:val="21"/>
        </w:rPr>
        <w:t>Our current library and designs follow UX4G 2.0. Component names and structures may have changed in 3.0, so we would rather check the mapping than assume the two line up.</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1F3864"/>
          </w:tcPr>
          <w:p>
            <w:pPr>
              <w:spacing w:after="40"/>
            </w:pPr>
            <w:r>
              <w:rPr>
                <w:rFonts w:ascii="Noto Sans" w:hAnsi="Noto Sans"/>
                <w:b/>
                <w:color w:val="FFFFFF"/>
                <w:sz w:val="17"/>
              </w:rPr>
              <w:t>#</w:t>
            </w:r>
          </w:p>
        </w:tc>
        <w:tc>
          <w:tcPr>
            <w:tcW w:type="dxa" w:w="2045"/>
            <w:shd w:val="clear" w:fill="1F3864"/>
          </w:tcPr>
          <w:p>
            <w:pPr>
              <w:spacing w:after="40"/>
            </w:pPr>
            <w:r>
              <w:rPr>
                <w:rFonts w:ascii="Noto Sans" w:hAnsi="Noto Sans"/>
                <w:b/>
                <w:color w:val="FFFFFF"/>
                <w:sz w:val="17"/>
              </w:rPr>
              <w:t>Question</w:t>
            </w:r>
          </w:p>
        </w:tc>
        <w:tc>
          <w:tcPr>
            <w:tcW w:type="dxa" w:w="2045"/>
            <w:shd w:val="clear" w:fill="1F3864"/>
          </w:tcPr>
          <w:p>
            <w:pPr>
              <w:spacing w:after="40"/>
            </w:pPr>
            <w:r>
              <w:rPr>
                <w:rFonts w:ascii="Noto Sans" w:hAnsi="Noto Sans"/>
                <w:b/>
                <w:color w:val="FFFFFF"/>
                <w:sz w:val="17"/>
              </w:rPr>
              <w:t>Why it matters</w:t>
            </w:r>
          </w:p>
        </w:tc>
        <w:tc>
          <w:tcPr>
            <w:tcW w:type="dxa" w:w="2045"/>
            <w:shd w:val="clear" w:fill="1F3864"/>
          </w:tcPr>
          <w:p>
            <w:pPr>
              <w:spacing w:after="40"/>
            </w:pPr>
            <w:r>
              <w:rPr>
                <w:rFonts w:ascii="Noto Sans" w:hAnsi="Noto Sans"/>
                <w:b/>
                <w:color w:val="FFFFFF"/>
                <w:sz w:val="17"/>
              </w:rPr>
              <w:t>If we do not hear back</w:t>
            </w:r>
          </w:p>
        </w:tc>
        <w:tc>
          <w:tcPr>
            <w:tcW w:type="dxa" w:w="2045"/>
            <w:shd w:val="clear" w:fill="1F3864"/>
          </w:tcPr>
          <w:p>
            <w:pPr>
              <w:spacing w:after="40"/>
            </w:pPr>
            <w:r>
              <w:rPr>
                <w:rFonts w:ascii="Noto Sans" w:hAnsi="Noto Sans"/>
                <w:b/>
                <w:color w:val="FFFFFF"/>
                <w:sz w:val="17"/>
              </w:rPr>
              <w:t>Priority</w:t>
            </w:r>
          </w:p>
        </w:tc>
      </w:tr>
      <w:tr>
        <w:tc>
          <w:tcPr>
            <w:tcW w:type="dxa" w:w="2045"/>
          </w:tcPr>
          <w:p>
            <w:pPr>
              <w:spacing w:after="40"/>
            </w:pPr>
            <w:r>
              <w:rPr>
                <w:rFonts w:ascii="Noto Sans" w:hAnsi="Noto Sans"/>
                <w:b w:val="0"/>
                <w:sz w:val="17"/>
              </w:rPr>
              <w:t>Q1</w:t>
            </w:r>
          </w:p>
        </w:tc>
        <w:tc>
          <w:tcPr>
            <w:tcW w:type="dxa" w:w="2045"/>
          </w:tcPr>
          <w:p>
            <w:pPr>
              <w:spacing w:after="40"/>
            </w:pPr>
            <w:r>
              <w:rPr>
                <w:rFonts w:ascii="Noto Sans" w:hAnsi="Noto Sans"/>
                <w:b w:val="0"/>
                <w:sz w:val="17"/>
              </w:rPr>
              <w:t>Is there a mapping or upgrade guide from 2.0 to 3.0?</w:t>
            </w:r>
          </w:p>
        </w:tc>
        <w:tc>
          <w:tcPr>
            <w:tcW w:type="dxa" w:w="2045"/>
          </w:tcPr>
          <w:p>
            <w:pPr>
              <w:spacing w:after="40"/>
            </w:pPr>
            <w:r>
              <w:rPr>
                <w:rFonts w:ascii="Noto Sans" w:hAnsi="Noto Sans"/>
                <w:b w:val="0"/>
                <w:sz w:val="17"/>
              </w:rPr>
              <w:t>Figma matches components by name when you replace a library. If names or structures changed between versions, replacing the library could unlink components across our files. We would rather know in advance.</w:t>
            </w:r>
          </w:p>
        </w:tc>
        <w:tc>
          <w:tcPr>
            <w:tcW w:type="dxa" w:w="2045"/>
          </w:tcPr>
          <w:p>
            <w:pPr>
              <w:spacing w:after="40"/>
            </w:pPr>
            <w:r>
              <w:rPr>
                <w:rFonts w:ascii="Noto Sans" w:hAnsi="Noto Sans"/>
                <w:b w:val="0"/>
                <w:sz w:val="17"/>
              </w:rPr>
              <w:t>We compare 2.0 and 3.0 ourselves, write the mapping, and rebuild only what does not match.</w:t>
            </w:r>
          </w:p>
        </w:tc>
        <w:tc>
          <w:tcPr>
            <w:tcW w:type="dxa" w:w="2045"/>
          </w:tcPr>
          <w:p>
            <w:pPr>
              <w:spacing w:after="40"/>
            </w:pPr>
            <w:r>
              <w:rPr>
                <w:rFonts w:ascii="Noto Sans" w:hAnsi="Noto Sans"/>
                <w:b w:val="0"/>
                <w:sz w:val="17"/>
              </w:rPr>
              <w:t>High</w:t>
            </w:r>
          </w:p>
        </w:tc>
      </w:tr>
      <w:tr>
        <w:tc>
          <w:tcPr>
            <w:tcW w:type="dxa" w:w="2045"/>
          </w:tcPr>
          <w:p>
            <w:pPr>
              <w:spacing w:after="40"/>
            </w:pPr>
            <w:r>
              <w:rPr>
                <w:rFonts w:ascii="Noto Sans" w:hAnsi="Noto Sans"/>
                <w:b w:val="0"/>
                <w:sz w:val="17"/>
              </w:rPr>
              <w:t>Q2</w:t>
            </w:r>
          </w:p>
        </w:tc>
        <w:tc>
          <w:tcPr>
            <w:tcW w:type="dxa" w:w="2045"/>
          </w:tcPr>
          <w:p>
            <w:pPr>
              <w:spacing w:after="40"/>
            </w:pPr>
            <w:r>
              <w:rPr>
                <w:rFonts w:ascii="Noto Sans" w:hAnsi="Noto Sans"/>
                <w:b w:val="0"/>
                <w:sz w:val="17"/>
              </w:rPr>
              <w:t>We are working against 3.0. If a newer version arrives while we are mid-way, should we adopt it or finish first?</w:t>
            </w:r>
          </w:p>
        </w:tc>
        <w:tc>
          <w:tcPr>
            <w:tcW w:type="dxa" w:w="2045"/>
          </w:tcPr>
          <w:p>
            <w:pPr>
              <w:spacing w:after="40"/>
            </w:pPr>
            <w:r>
              <w:rPr>
                <w:rFonts w:ascii="Noto Sans" w:hAnsi="Noto Sans"/>
                <w:b w:val="0"/>
                <w:sz w:val="17"/>
              </w:rPr>
              <w:t>Adopting mid-way means revisiting completed work.</w:t>
            </w:r>
          </w:p>
        </w:tc>
        <w:tc>
          <w:tcPr>
            <w:tcW w:type="dxa" w:w="2045"/>
          </w:tcPr>
          <w:p>
            <w:pPr>
              <w:spacing w:after="40"/>
            </w:pPr>
            <w:r>
              <w:rPr>
                <w:rFonts w:ascii="Noto Sans" w:hAnsi="Noto Sans"/>
                <w:b w:val="0"/>
                <w:sz w:val="17"/>
              </w:rPr>
              <w:t>We finish against 3.0 and treat any later upgrade as separate work.</w:t>
            </w:r>
          </w:p>
        </w:tc>
        <w:tc>
          <w:tcPr>
            <w:tcW w:type="dxa" w:w="2045"/>
          </w:tcPr>
          <w:p>
            <w:pPr>
              <w:spacing w:after="40"/>
            </w:pPr>
            <w:r>
              <w:rPr>
                <w:rFonts w:ascii="Noto Sans" w:hAnsi="Noto Sans"/>
                <w:b w:val="0"/>
                <w:sz w:val="17"/>
              </w:rPr>
              <w:t>High</w:t>
            </w:r>
          </w:p>
        </w:tc>
      </w:tr>
    </w:tbl>
    <w:p>
      <w:pPr>
        <w:spacing w:after="80"/>
      </w:pPr>
    </w:p>
    <w:p/>
    <w:p>
      <w:pPr>
        <w:spacing w:before="320" w:after="120"/>
      </w:pPr>
      <w:r>
        <w:rPr>
          <w:rFonts w:ascii="Noto Sans" w:hAnsi="Noto Sans"/>
          <w:b/>
          <w:color w:val="1F3864"/>
          <w:sz w:val="27"/>
        </w:rPr>
        <w:t>2. Confirming we have done it right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1F3864"/>
          </w:tcPr>
          <w:p>
            <w:pPr>
              <w:spacing w:after="40"/>
            </w:pPr>
            <w:r>
              <w:rPr>
                <w:rFonts w:ascii="Noto Sans" w:hAnsi="Noto Sans"/>
                <w:b/>
                <w:color w:val="FFFFFF"/>
                <w:sz w:val="17"/>
              </w:rPr>
              <w:t>#</w:t>
            </w:r>
          </w:p>
        </w:tc>
        <w:tc>
          <w:tcPr>
            <w:tcW w:type="dxa" w:w="2045"/>
            <w:shd w:val="clear" w:fill="1F3864"/>
          </w:tcPr>
          <w:p>
            <w:pPr>
              <w:spacing w:after="40"/>
            </w:pPr>
            <w:r>
              <w:rPr>
                <w:rFonts w:ascii="Noto Sans" w:hAnsi="Noto Sans"/>
                <w:b/>
                <w:color w:val="FFFFFF"/>
                <w:sz w:val="17"/>
              </w:rPr>
              <w:t>Question</w:t>
            </w:r>
          </w:p>
        </w:tc>
        <w:tc>
          <w:tcPr>
            <w:tcW w:type="dxa" w:w="2045"/>
            <w:shd w:val="clear" w:fill="1F3864"/>
          </w:tcPr>
          <w:p>
            <w:pPr>
              <w:spacing w:after="40"/>
            </w:pPr>
            <w:r>
              <w:rPr>
                <w:rFonts w:ascii="Noto Sans" w:hAnsi="Noto Sans"/>
                <w:b/>
                <w:color w:val="FFFFFF"/>
                <w:sz w:val="17"/>
              </w:rPr>
              <w:t>Why it matters</w:t>
            </w:r>
          </w:p>
        </w:tc>
        <w:tc>
          <w:tcPr>
            <w:tcW w:type="dxa" w:w="2045"/>
            <w:shd w:val="clear" w:fill="1F3864"/>
          </w:tcPr>
          <w:p>
            <w:pPr>
              <w:spacing w:after="40"/>
            </w:pPr>
            <w:r>
              <w:rPr>
                <w:rFonts w:ascii="Noto Sans" w:hAnsi="Noto Sans"/>
                <w:b/>
                <w:color w:val="FFFFFF"/>
                <w:sz w:val="17"/>
              </w:rPr>
              <w:t>If we do not hear back</w:t>
            </w:r>
          </w:p>
        </w:tc>
        <w:tc>
          <w:tcPr>
            <w:tcW w:type="dxa" w:w="2045"/>
            <w:shd w:val="clear" w:fill="1F3864"/>
          </w:tcPr>
          <w:p>
            <w:pPr>
              <w:spacing w:after="40"/>
            </w:pPr>
            <w:r>
              <w:rPr>
                <w:rFonts w:ascii="Noto Sans" w:hAnsi="Noto Sans"/>
                <w:b/>
                <w:color w:val="FFFFFF"/>
                <w:sz w:val="17"/>
              </w:rPr>
              <w:t>Priority</w:t>
            </w:r>
          </w:p>
        </w:tc>
      </w:tr>
      <w:tr>
        <w:tc>
          <w:tcPr>
            <w:tcW w:type="dxa" w:w="2045"/>
          </w:tcPr>
          <w:p>
            <w:pPr>
              <w:spacing w:after="40"/>
            </w:pPr>
            <w:r>
              <w:rPr>
                <w:rFonts w:ascii="Noto Sans" w:hAnsi="Noto Sans"/>
                <w:b w:val="0"/>
                <w:sz w:val="17"/>
              </w:rPr>
              <w:t>Q3</w:t>
            </w:r>
          </w:p>
        </w:tc>
        <w:tc>
          <w:tcPr>
            <w:tcW w:type="dxa" w:w="2045"/>
          </w:tcPr>
          <w:p>
            <w:pPr>
              <w:spacing w:after="40"/>
            </w:pPr>
            <w:r>
              <w:rPr>
                <w:rFonts w:ascii="Noto Sans" w:hAnsi="Noto Sans"/>
                <w:b w:val="0"/>
                <w:sz w:val="17"/>
              </w:rPr>
              <w:t>How will adoption be checked?</w:t>
            </w:r>
          </w:p>
        </w:tc>
        <w:tc>
          <w:tcPr>
            <w:tcW w:type="dxa" w:w="2045"/>
          </w:tcPr>
          <w:p>
            <w:pPr>
              <w:spacing w:after="40"/>
            </w:pPr>
            <w:r>
              <w:rPr>
                <w:rFonts w:ascii="Noto Sans" w:hAnsi="Noto Sans"/>
                <w:b w:val="0"/>
                <w:sz w:val="17"/>
              </w:rPr>
              <w:t>Several checks are possible and each asks for different work from us: someone reviewing the screens by eye, our own declaration, components tracing back to the published library, component names and structure matching, or an accessibility review. We would rather build for the right one.</w:t>
            </w:r>
          </w:p>
        </w:tc>
        <w:tc>
          <w:tcPr>
            <w:tcW w:type="dxa" w:w="2045"/>
          </w:tcPr>
          <w:p>
            <w:pPr>
              <w:spacing w:after="40"/>
            </w:pPr>
            <w:r>
              <w:rPr>
                <w:rFonts w:ascii="Noto Sans" w:hAnsi="Noto Sans"/>
                <w:b w:val="0"/>
                <w:sz w:val="17"/>
              </w:rPr>
              <w:t>We report on component and structure matching, and share our method with each weekly report.</w:t>
            </w:r>
          </w:p>
        </w:tc>
        <w:tc>
          <w:tcPr>
            <w:tcW w:type="dxa" w:w="2045"/>
          </w:tcPr>
          <w:p>
            <w:pPr>
              <w:spacing w:after="40"/>
            </w:pPr>
            <w:r>
              <w:rPr>
                <w:rFonts w:ascii="Noto Sans" w:hAnsi="Noto Sans"/>
                <w:b w:val="0"/>
                <w:sz w:val="17"/>
              </w:rPr>
              <w:t>High</w:t>
            </w:r>
          </w:p>
        </w:tc>
      </w:tr>
      <w:tr>
        <w:tc>
          <w:tcPr>
            <w:tcW w:type="dxa" w:w="2045"/>
          </w:tcPr>
          <w:p>
            <w:pPr>
              <w:spacing w:after="40"/>
            </w:pPr>
            <w:r>
              <w:rPr>
                <w:rFonts w:ascii="Noto Sans" w:hAnsi="Noto Sans"/>
                <w:b w:val="0"/>
                <w:sz w:val="17"/>
              </w:rPr>
              <w:t>Q4</w:t>
            </w:r>
          </w:p>
        </w:tc>
        <w:tc>
          <w:tcPr>
            <w:tcW w:type="dxa" w:w="2045"/>
          </w:tcPr>
          <w:p>
            <w:pPr>
              <w:spacing w:after="40"/>
            </w:pPr>
            <w:r>
              <w:rPr>
                <w:rFonts w:ascii="Noto Sans" w:hAnsi="Noto Sans"/>
                <w:b w:val="0"/>
                <w:sz w:val="17"/>
              </w:rPr>
              <w:t>Who confirms that a design is compliant, and at what point?</w:t>
            </w:r>
          </w:p>
        </w:tc>
        <w:tc>
          <w:tcPr>
            <w:tcW w:type="dxa" w:w="2045"/>
          </w:tcPr>
          <w:p>
            <w:pPr>
              <w:spacing w:after="40"/>
            </w:pPr>
            <w:r>
              <w:rPr>
                <w:rFonts w:ascii="Noto Sans" w:hAnsi="Noto Sans"/>
                <w:b w:val="0"/>
                <w:sz w:val="17"/>
              </w:rPr>
              <w:t>It gives us a clear definition of finished, and a point at which a screen can be closed.</w:t>
            </w:r>
          </w:p>
        </w:tc>
        <w:tc>
          <w:tcPr>
            <w:tcW w:type="dxa" w:w="2045"/>
          </w:tcPr>
          <w:p>
            <w:pPr>
              <w:spacing w:after="40"/>
            </w:pPr>
            <w:r>
              <w:rPr>
                <w:rFonts w:ascii="Noto Sans" w:hAnsi="Noto Sans"/>
                <w:b w:val="0"/>
                <w:sz w:val="17"/>
              </w:rPr>
              <w:t>We record every submission and treat no response within two weeks as accepted.</w:t>
            </w:r>
          </w:p>
        </w:tc>
        <w:tc>
          <w:tcPr>
            <w:tcW w:type="dxa" w:w="2045"/>
          </w:tcPr>
          <w:p>
            <w:pPr>
              <w:spacing w:after="40"/>
            </w:pPr>
            <w:r>
              <w:rPr>
                <w:rFonts w:ascii="Noto Sans" w:hAnsi="Noto Sans"/>
                <w:b w:val="0"/>
                <w:sz w:val="17"/>
              </w:rPr>
              <w:t>High</w:t>
            </w:r>
          </w:p>
        </w:tc>
      </w:tr>
      <w:tr>
        <w:tc>
          <w:tcPr>
            <w:tcW w:type="dxa" w:w="2045"/>
          </w:tcPr>
          <w:p>
            <w:pPr>
              <w:spacing w:after="40"/>
            </w:pPr>
            <w:r>
              <w:rPr>
                <w:rFonts w:ascii="Noto Sans" w:hAnsi="Noto Sans"/>
                <w:b w:val="0"/>
                <w:sz w:val="17"/>
              </w:rPr>
              <w:t>Q5</w:t>
            </w:r>
          </w:p>
        </w:tc>
        <w:tc>
          <w:tcPr>
            <w:tcW w:type="dxa" w:w="2045"/>
          </w:tcPr>
          <w:p>
            <w:pPr>
              <w:spacing w:after="40"/>
            </w:pPr>
            <w:r>
              <w:rPr>
                <w:rFonts w:ascii="Noto Sans" w:hAnsi="Noto Sans"/>
                <w:b w:val="0"/>
                <w:sz w:val="17"/>
              </w:rPr>
              <w:t>Is there a preferred format for recording a departure from the kit?</w:t>
            </w:r>
          </w:p>
        </w:tc>
        <w:tc>
          <w:tcPr>
            <w:tcW w:type="dxa" w:w="2045"/>
          </w:tcPr>
          <w:p>
            <w:pPr>
              <w:spacing w:after="40"/>
            </w:pPr>
            <w:r>
              <w:rPr>
                <w:rFonts w:ascii="Noto Sans" w:hAnsi="Noto Sans"/>
                <w:b w:val="0"/>
                <w:sz w:val="17"/>
              </w:rPr>
              <w:t>If one exists we would rather use yours than invent our own.</w:t>
            </w:r>
          </w:p>
        </w:tc>
        <w:tc>
          <w:tcPr>
            <w:tcW w:type="dxa" w:w="2045"/>
          </w:tcPr>
          <w:p>
            <w:pPr>
              <w:spacing w:after="40"/>
            </w:pPr>
            <w:r>
              <w:rPr>
                <w:rFonts w:ascii="Noto Sans" w:hAnsi="Noto Sans"/>
                <w:b w:val="0"/>
                <w:sz w:val="17"/>
              </w:rPr>
              <w:t>We use the register in section 5 and share it weekly.</w:t>
            </w:r>
          </w:p>
        </w:tc>
        <w:tc>
          <w:tcPr>
            <w:tcW w:type="dxa" w:w="2045"/>
          </w:tcPr>
          <w:p>
            <w:pPr>
              <w:spacing w:after="40"/>
            </w:pPr>
            <w:r>
              <w:rPr>
                <w:rFonts w:ascii="Noto Sans" w:hAnsi="Noto Sans"/>
                <w:b w:val="0"/>
                <w:sz w:val="17"/>
              </w:rPr>
              <w:t>Medium</w:t>
            </w:r>
          </w:p>
        </w:tc>
      </w:tr>
    </w:tbl>
    <w:p>
      <w:pPr>
        <w:spacing w:after="80"/>
      </w:pPr>
    </w:p>
    <w:p/>
    <w:p>
      <w:pPr>
        <w:spacing w:before="320" w:after="120"/>
      </w:pPr>
      <w:r>
        <w:rPr>
          <w:rFonts w:ascii="Noto Sans" w:hAnsi="Noto Sans"/>
          <w:b/>
          <w:color w:val="1F3864"/>
          <w:sz w:val="27"/>
        </w:rPr>
        <w:t>3. Brand alignment</w:t>
      </w:r>
    </w:p>
    <w:p>
      <w:pPr>
        <w:spacing w:after="140"/>
      </w:pPr>
      <w:r>
        <w:rPr>
          <w:rFonts w:ascii="Noto Sans" w:hAnsi="Noto Sans"/>
          <w:sz w:val="21"/>
        </w:rPr>
        <w:t>This part fits together better than we first expected, so these are narrow questions rather than concerns.</w:t>
      </w:r>
    </w:p>
    <w:p>
      <w:pPr>
        <w:spacing w:after="140"/>
      </w:pPr>
      <w:r>
        <w:rPr>
          <w:rFonts w:ascii="Noto Sans" w:hAnsi="Noto Sans"/>
          <w:sz w:val="21"/>
        </w:rPr>
        <w:t>DBIM asks for one primary colour group built from a key colour and its variants, background and surface colours drawn from a functional palette, and a set type scale. UX4G lets a department apply its own colours through Theme Craft. So the two are compatible by design: UX4G provides the components and the means to theme them, and DBIM tells us what to theme them to. On typography they already agree, since both specify Noto Sans.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1F3864"/>
          </w:tcPr>
          <w:p>
            <w:pPr>
              <w:spacing w:after="40"/>
            </w:pPr>
            <w:r>
              <w:rPr>
                <w:rFonts w:ascii="Noto Sans" w:hAnsi="Noto Sans"/>
                <w:b/>
                <w:color w:val="FFFFFF"/>
                <w:sz w:val="17"/>
              </w:rPr>
              <w:t>#</w:t>
            </w:r>
          </w:p>
        </w:tc>
        <w:tc>
          <w:tcPr>
            <w:tcW w:type="dxa" w:w="2045"/>
            <w:shd w:val="clear" w:fill="1F3864"/>
          </w:tcPr>
          <w:p>
            <w:pPr>
              <w:spacing w:after="40"/>
            </w:pPr>
            <w:r>
              <w:rPr>
                <w:rFonts w:ascii="Noto Sans" w:hAnsi="Noto Sans"/>
                <w:b/>
                <w:color w:val="FFFFFF"/>
                <w:sz w:val="17"/>
              </w:rPr>
              <w:t>Question</w:t>
            </w:r>
          </w:p>
        </w:tc>
        <w:tc>
          <w:tcPr>
            <w:tcW w:type="dxa" w:w="2045"/>
            <w:shd w:val="clear" w:fill="1F3864"/>
          </w:tcPr>
          <w:p>
            <w:pPr>
              <w:spacing w:after="40"/>
            </w:pPr>
            <w:r>
              <w:rPr>
                <w:rFonts w:ascii="Noto Sans" w:hAnsi="Noto Sans"/>
                <w:b/>
                <w:color w:val="FFFFFF"/>
                <w:sz w:val="17"/>
              </w:rPr>
              <w:t>Why it matters</w:t>
            </w:r>
          </w:p>
        </w:tc>
        <w:tc>
          <w:tcPr>
            <w:tcW w:type="dxa" w:w="2045"/>
            <w:shd w:val="clear" w:fill="1F3864"/>
          </w:tcPr>
          <w:p>
            <w:pPr>
              <w:spacing w:after="40"/>
            </w:pPr>
            <w:r>
              <w:rPr>
                <w:rFonts w:ascii="Noto Sans" w:hAnsi="Noto Sans"/>
                <w:b/>
                <w:color w:val="FFFFFF"/>
                <w:sz w:val="17"/>
              </w:rPr>
              <w:t>If we do not hear back</w:t>
            </w:r>
          </w:p>
        </w:tc>
        <w:tc>
          <w:tcPr>
            <w:tcW w:type="dxa" w:w="2045"/>
            <w:shd w:val="clear" w:fill="1F3864"/>
          </w:tcPr>
          <w:p>
            <w:pPr>
              <w:spacing w:after="40"/>
            </w:pPr>
            <w:r>
              <w:rPr>
                <w:rFonts w:ascii="Noto Sans" w:hAnsi="Noto Sans"/>
                <w:b/>
                <w:color w:val="FFFFFF"/>
                <w:sz w:val="17"/>
              </w:rPr>
              <w:t>Priority</w:t>
            </w:r>
          </w:p>
        </w:tc>
      </w:tr>
      <w:tr>
        <w:tc>
          <w:tcPr>
            <w:tcW w:type="dxa" w:w="2045"/>
          </w:tcPr>
          <w:p>
            <w:pPr>
              <w:spacing w:after="40"/>
            </w:pPr>
            <w:r>
              <w:rPr>
                <w:rFonts w:ascii="Noto Sans" w:hAnsi="Noto Sans"/>
                <w:b w:val="0"/>
                <w:sz w:val="17"/>
              </w:rPr>
              <w:t>Q6</w:t>
            </w:r>
          </w:p>
        </w:tc>
        <w:tc>
          <w:tcPr>
            <w:tcW w:type="dxa" w:w="2045"/>
          </w:tcPr>
          <w:p>
            <w:pPr>
              <w:spacing w:after="40"/>
            </w:pPr>
            <w:r>
              <w:rPr>
                <w:rFonts w:ascii="Noto Sans" w:hAnsi="Noto Sans"/>
                <w:b w:val="0"/>
                <w:sz w:val="17"/>
              </w:rPr>
              <w:t>DBIM sets some structural colour rules, for example that the footer uses the darkest shade of the key colour group, and that icons use either the key colour or white. Do these apply inside UX4G components, or does UX4G's own component styling take precedence?</w:t>
            </w:r>
          </w:p>
        </w:tc>
        <w:tc>
          <w:tcPr>
            <w:tcW w:type="dxa" w:w="2045"/>
          </w:tcPr>
          <w:p>
            <w:pPr>
              <w:spacing w:after="40"/>
            </w:pPr>
            <w:r>
              <w:rPr>
                <w:rFonts w:ascii="Noto Sans" w:hAnsi="Noto Sans"/>
                <w:b w:val="0"/>
                <w:sz w:val="17"/>
              </w:rPr>
              <w:t>These are the few places where the two could point in different directions.</w:t>
            </w:r>
          </w:p>
        </w:tc>
        <w:tc>
          <w:tcPr>
            <w:tcW w:type="dxa" w:w="2045"/>
          </w:tcPr>
          <w:p>
            <w:pPr>
              <w:spacing w:after="40"/>
            </w:pPr>
            <w:r>
              <w:rPr>
                <w:rFonts w:ascii="Noto Sans" w:hAnsi="Noto Sans"/>
                <w:b w:val="0"/>
                <w:sz w:val="17"/>
              </w:rPr>
              <w:t>We follow DBIM for the footer, icons and identity marks, and UX4G for everything else, and note it.</w:t>
            </w:r>
          </w:p>
        </w:tc>
        <w:tc>
          <w:tcPr>
            <w:tcW w:type="dxa" w:w="2045"/>
          </w:tcPr>
          <w:p>
            <w:pPr>
              <w:spacing w:after="40"/>
            </w:pPr>
            <w:r>
              <w:rPr>
                <w:rFonts w:ascii="Noto Sans" w:hAnsi="Noto Sans"/>
                <w:b w:val="0"/>
                <w:sz w:val="17"/>
              </w:rPr>
              <w:t>High</w:t>
            </w:r>
          </w:p>
        </w:tc>
      </w:tr>
      <w:tr>
        <w:tc>
          <w:tcPr>
            <w:tcW w:type="dxa" w:w="2045"/>
          </w:tcPr>
          <w:p>
            <w:pPr>
              <w:spacing w:after="40"/>
            </w:pPr>
            <w:r>
              <w:rPr>
                <w:rFonts w:ascii="Noto Sans" w:hAnsi="Noto Sans"/>
                <w:b w:val="0"/>
                <w:sz w:val="17"/>
              </w:rPr>
              <w:t>Q7</w:t>
            </w:r>
          </w:p>
        </w:tc>
        <w:tc>
          <w:tcPr>
            <w:tcW w:type="dxa" w:w="2045"/>
          </w:tcPr>
          <w:p>
            <w:pPr>
              <w:spacing w:after="40"/>
            </w:pPr>
            <w:r>
              <w:rPr>
                <w:rFonts w:ascii="Noto Sans" w:hAnsi="Noto Sans"/>
                <w:b w:val="0"/>
                <w:sz w:val="17"/>
              </w:rPr>
              <w:t>DBIM defines a type scale and so does UX4G. Which one should we follow for body text, headings and tables?</w:t>
            </w:r>
          </w:p>
        </w:tc>
        <w:tc>
          <w:tcPr>
            <w:tcW w:type="dxa" w:w="2045"/>
          </w:tcPr>
          <w:p>
            <w:pPr>
              <w:spacing w:after="40"/>
            </w:pPr>
            <w:r>
              <w:rPr>
                <w:rFonts w:ascii="Noto Sans" w:hAnsi="Noto Sans"/>
                <w:b w:val="0"/>
                <w:sz w:val="17"/>
              </w:rPr>
              <w:t>Both specify Noto Sans, so this is only about sizes and spacing, but it affects every screen.</w:t>
            </w:r>
          </w:p>
        </w:tc>
        <w:tc>
          <w:tcPr>
            <w:tcW w:type="dxa" w:w="2045"/>
          </w:tcPr>
          <w:p>
            <w:pPr>
              <w:spacing w:after="40"/>
            </w:pPr>
            <w:r>
              <w:rPr>
                <w:rFonts w:ascii="Noto Sans" w:hAnsi="Noto Sans"/>
                <w:b w:val="0"/>
                <w:sz w:val="17"/>
              </w:rPr>
              <w:t>We follow UX4G's scale inside components and DBIM's for page-level content.</w:t>
            </w:r>
          </w:p>
        </w:tc>
        <w:tc>
          <w:tcPr>
            <w:tcW w:type="dxa" w:w="2045"/>
          </w:tcPr>
          <w:p>
            <w:pPr>
              <w:spacing w:after="40"/>
            </w:pPr>
            <w:r>
              <w:rPr>
                <w:rFonts w:ascii="Noto Sans" w:hAnsi="Noto Sans"/>
                <w:b w:val="0"/>
                <w:sz w:val="17"/>
              </w:rPr>
              <w:t>High</w:t>
            </w:r>
          </w:p>
        </w:tc>
      </w:tr>
    </w:tbl>
    <w:p>
      <w:pPr>
        <w:spacing w:after="80"/>
      </w:pPr>
    </w:p>
    <w:p/>
    <w:p>
      <w:pPr>
        <w:spacing w:before="320" w:after="120"/>
      </w:pPr>
      <w:r>
        <w:rPr>
          <w:rFonts w:ascii="Noto Sans" w:hAnsi="Noto Sans"/>
          <w:b/>
          <w:color w:val="1F3864"/>
          <w:sz w:val="27"/>
        </w:rPr>
        <w:t>4. Components UX4G does not yet cover</w:t>
      </w:r>
    </w:p>
    <w:p>
      <w:pPr>
        <w:spacing w:after="140"/>
      </w:pPr>
      <w:r>
        <w:rPr>
          <w:rFonts w:ascii="Noto Sans" w:hAnsi="Noto Sans"/>
          <w:sz w:val="21"/>
        </w:rPr>
        <w:t>A good part of our work is for officials rather than citizens: dense data tables with sorting and bulk selection, dashboards and charts, multi-step approval chains, maps, and monitoring screens. UX4G 3.0 covers citizen service journeys well, and these sit outside that.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1F3864"/>
          </w:tcPr>
          <w:p>
            <w:pPr>
              <w:spacing w:after="40"/>
            </w:pPr>
            <w:r>
              <w:rPr>
                <w:rFonts w:ascii="Noto Sans" w:hAnsi="Noto Sans"/>
                <w:b/>
                <w:color w:val="FFFFFF"/>
                <w:sz w:val="17"/>
              </w:rPr>
              <w:t>#</w:t>
            </w:r>
          </w:p>
        </w:tc>
        <w:tc>
          <w:tcPr>
            <w:tcW w:type="dxa" w:w="2045"/>
            <w:shd w:val="clear" w:fill="1F3864"/>
          </w:tcPr>
          <w:p>
            <w:pPr>
              <w:spacing w:after="40"/>
            </w:pPr>
            <w:r>
              <w:rPr>
                <w:rFonts w:ascii="Noto Sans" w:hAnsi="Noto Sans"/>
                <w:b/>
                <w:color w:val="FFFFFF"/>
                <w:sz w:val="17"/>
              </w:rPr>
              <w:t>Question</w:t>
            </w:r>
          </w:p>
        </w:tc>
        <w:tc>
          <w:tcPr>
            <w:tcW w:type="dxa" w:w="2045"/>
            <w:shd w:val="clear" w:fill="1F3864"/>
          </w:tcPr>
          <w:p>
            <w:pPr>
              <w:spacing w:after="40"/>
            </w:pPr>
            <w:r>
              <w:rPr>
                <w:rFonts w:ascii="Noto Sans" w:hAnsi="Noto Sans"/>
                <w:b/>
                <w:color w:val="FFFFFF"/>
                <w:sz w:val="17"/>
              </w:rPr>
              <w:t>Why it matters</w:t>
            </w:r>
          </w:p>
        </w:tc>
        <w:tc>
          <w:tcPr>
            <w:tcW w:type="dxa" w:w="2045"/>
            <w:shd w:val="clear" w:fill="1F3864"/>
          </w:tcPr>
          <w:p>
            <w:pPr>
              <w:spacing w:after="40"/>
            </w:pPr>
            <w:r>
              <w:rPr>
                <w:rFonts w:ascii="Noto Sans" w:hAnsi="Noto Sans"/>
                <w:b/>
                <w:color w:val="FFFFFF"/>
                <w:sz w:val="17"/>
              </w:rPr>
              <w:t>If we do not hear back</w:t>
            </w:r>
          </w:p>
        </w:tc>
        <w:tc>
          <w:tcPr>
            <w:tcW w:type="dxa" w:w="2045"/>
            <w:shd w:val="clear" w:fill="1F3864"/>
          </w:tcPr>
          <w:p>
            <w:pPr>
              <w:spacing w:after="40"/>
            </w:pPr>
            <w:r>
              <w:rPr>
                <w:rFonts w:ascii="Noto Sans" w:hAnsi="Noto Sans"/>
                <w:b/>
                <w:color w:val="FFFFFF"/>
                <w:sz w:val="17"/>
              </w:rPr>
              <w:t>Priority</w:t>
            </w:r>
          </w:p>
        </w:tc>
      </w:tr>
      <w:tr>
        <w:tc>
          <w:tcPr>
            <w:tcW w:type="dxa" w:w="2045"/>
          </w:tcPr>
          <w:p>
            <w:pPr>
              <w:spacing w:after="40"/>
            </w:pPr>
            <w:r>
              <w:rPr>
                <w:rFonts w:ascii="Noto Sans" w:hAnsi="Noto Sans"/>
                <w:b w:val="0"/>
                <w:sz w:val="17"/>
              </w:rPr>
              <w:t>Q8</w:t>
            </w:r>
          </w:p>
        </w:tc>
        <w:tc>
          <w:tcPr>
            <w:tcW w:type="dxa" w:w="2045"/>
          </w:tcPr>
          <w:p>
            <w:pPr>
              <w:spacing w:after="40"/>
            </w:pPr>
            <w:r>
              <w:rPr>
                <w:rFonts w:ascii="Noto Sans" w:hAnsi="Noto Sans"/>
                <w:b w:val="0"/>
                <w:sz w:val="17"/>
              </w:rPr>
              <w:t>Where 3.0 has no component, would you prefer we build it on UX4G's foundations, or wait?</w:t>
            </w:r>
          </w:p>
        </w:tc>
        <w:tc>
          <w:tcPr>
            <w:tcW w:type="dxa" w:w="2045"/>
          </w:tcPr>
          <w:p>
            <w:pPr>
              <w:spacing w:after="40"/>
            </w:pPr>
            <w:r>
              <w:rPr>
                <w:rFonts w:ascii="Noto Sans" w:hAnsi="Noto Sans"/>
                <w:b w:val="0"/>
                <w:sz w:val="17"/>
              </w:rPr>
              <w:t>We would rather build in a way you can reuse than solve it locally.</w:t>
            </w:r>
          </w:p>
        </w:tc>
        <w:tc>
          <w:tcPr>
            <w:tcW w:type="dxa" w:w="2045"/>
          </w:tcPr>
          <w:p>
            <w:pPr>
              <w:spacing w:after="40"/>
            </w:pPr>
            <w:r>
              <w:rPr>
                <w:rFonts w:ascii="Noto Sans" w:hAnsi="Noto Sans"/>
                <w:b w:val="0"/>
                <w:sz w:val="17"/>
              </w:rPr>
              <w:t>We build on UX4G's foundations, record each one, and offer them back.</w:t>
            </w:r>
          </w:p>
        </w:tc>
        <w:tc>
          <w:tcPr>
            <w:tcW w:type="dxa" w:w="2045"/>
          </w:tcPr>
          <w:p>
            <w:pPr>
              <w:spacing w:after="40"/>
            </w:pPr>
            <w:r>
              <w:rPr>
                <w:rFonts w:ascii="Noto Sans" w:hAnsi="Noto Sans"/>
                <w:b w:val="0"/>
                <w:sz w:val="17"/>
              </w:rPr>
              <w:t>High</w:t>
            </w:r>
          </w:p>
        </w:tc>
      </w:tr>
      <w:tr>
        <w:tc>
          <w:tcPr>
            <w:tcW w:type="dxa" w:w="2045"/>
          </w:tcPr>
          <w:p>
            <w:pPr>
              <w:spacing w:after="40"/>
            </w:pPr>
            <w:r>
              <w:rPr>
                <w:rFonts w:ascii="Noto Sans" w:hAnsi="Noto Sans"/>
                <w:b w:val="0"/>
                <w:sz w:val="17"/>
              </w:rPr>
              <w:t>Q9</w:t>
            </w:r>
          </w:p>
        </w:tc>
        <w:tc>
          <w:tcPr>
            <w:tcW w:type="dxa" w:w="2045"/>
          </w:tcPr>
          <w:p>
            <w:pPr>
              <w:spacing w:after="40"/>
            </w:pPr>
            <w:r>
              <w:rPr>
                <w:rFonts w:ascii="Noto Sans" w:hAnsi="Noto Sans"/>
                <w:b w:val="0"/>
                <w:sz w:val="17"/>
              </w:rPr>
              <w:t>Is anyone already building these, or are they planned for a later release?</w:t>
            </w:r>
          </w:p>
        </w:tc>
        <w:tc>
          <w:tcPr>
            <w:tcW w:type="dxa" w:w="2045"/>
          </w:tcPr>
          <w:p>
            <w:pPr>
              <w:spacing w:after="40"/>
            </w:pPr>
            <w:r>
              <w:rPr>
                <w:rFonts w:ascii="Noto Sans" w:hAnsi="Noto Sans"/>
                <w:b w:val="0"/>
                <w:sz w:val="17"/>
              </w:rPr>
              <w:t>If the work exists or is coming, we would rather wait than duplicate it.</w:t>
            </w:r>
          </w:p>
        </w:tc>
        <w:tc>
          <w:tcPr>
            <w:tcW w:type="dxa" w:w="2045"/>
          </w:tcPr>
          <w:p>
            <w:pPr>
              <w:spacing w:after="40"/>
            </w:pPr>
            <w:r>
              <w:rPr>
                <w:rFonts w:ascii="Noto Sans" w:hAnsi="Noto Sans"/>
                <w:b w:val="0"/>
                <w:sz w:val="17"/>
              </w:rPr>
              <w:t>We assume none exists yet and build our own.</w:t>
            </w:r>
          </w:p>
        </w:tc>
        <w:tc>
          <w:tcPr>
            <w:tcW w:type="dxa" w:w="2045"/>
          </w:tcPr>
          <w:p>
            <w:pPr>
              <w:spacing w:after="40"/>
            </w:pPr>
            <w:r>
              <w:rPr>
                <w:rFonts w:ascii="Noto Sans" w:hAnsi="Noto Sans"/>
                <w:b w:val="0"/>
                <w:sz w:val="17"/>
              </w:rPr>
              <w:t>High</w:t>
            </w:r>
          </w:p>
        </w:tc>
      </w:tr>
      <w:tr>
        <w:tc>
          <w:tcPr>
            <w:tcW w:type="dxa" w:w="2045"/>
          </w:tcPr>
          <w:p>
            <w:pPr>
              <w:spacing w:after="40"/>
            </w:pPr>
            <w:r>
              <w:rPr>
                <w:rFonts w:ascii="Noto Sans" w:hAnsi="Noto Sans"/>
                <w:b w:val="0"/>
                <w:sz w:val="17"/>
              </w:rPr>
              <w:t>Q10</w:t>
            </w:r>
          </w:p>
        </w:tc>
        <w:tc>
          <w:tcPr>
            <w:tcW w:type="dxa" w:w="2045"/>
          </w:tcPr>
          <w:p>
            <w:pPr>
              <w:spacing w:after="40"/>
            </w:pPr>
            <w:r>
              <w:rPr>
                <w:rFonts w:ascii="Noto Sans" w:hAnsi="Noto Sans"/>
                <w:b w:val="0"/>
                <w:sz w:val="17"/>
              </w:rPr>
              <w:t>If we do build them, how would you like them submitted?</w:t>
            </w:r>
          </w:p>
        </w:tc>
        <w:tc>
          <w:tcPr>
            <w:tcW w:type="dxa" w:w="2045"/>
          </w:tcPr>
          <w:p>
            <w:pPr>
              <w:spacing w:after="40"/>
            </w:pPr>
            <w:r>
              <w:rPr>
                <w:rFonts w:ascii="Noto Sans" w:hAnsi="Noto Sans"/>
                <w:b w:val="0"/>
                <w:sz w:val="17"/>
              </w:rPr>
              <w:t>The directive asks us to contribute back and we would like to do that properly. We would need to know the format, who reviews it, and roughly how long review takes.</w:t>
            </w:r>
          </w:p>
        </w:tc>
        <w:tc>
          <w:tcPr>
            <w:tcW w:type="dxa" w:w="2045"/>
          </w:tcPr>
          <w:p>
            <w:pPr>
              <w:spacing w:after="40"/>
            </w:pPr>
            <w:r>
              <w:rPr>
                <w:rFonts w:ascii="Noto Sans" w:hAnsi="Noto Sans"/>
                <w:b w:val="0"/>
                <w:sz w:val="17"/>
              </w:rPr>
              <w:t>We package them as a Figma file with written specifications and send them for review.</w:t>
            </w:r>
          </w:p>
        </w:tc>
        <w:tc>
          <w:tcPr>
            <w:tcW w:type="dxa" w:w="2045"/>
          </w:tcPr>
          <w:p>
            <w:pPr>
              <w:spacing w:after="40"/>
            </w:pPr>
            <w:r>
              <w:rPr>
                <w:rFonts w:ascii="Noto Sans" w:hAnsi="Noto Sans"/>
                <w:b w:val="0"/>
                <w:sz w:val="17"/>
              </w:rPr>
              <w:t>Medium</w:t>
            </w:r>
          </w:p>
        </w:tc>
      </w:tr>
    </w:tbl>
    <w:p>
      <w:pPr>
        <w:spacing w:after="80"/>
      </w:pPr>
    </w:p>
    <w:p/>
    <w:p>
      <w:pPr>
        <w:spacing w:before="320" w:after="120"/>
      </w:pPr>
      <w:r>
        <w:rPr>
          <w:rFonts w:ascii="Noto Sans" w:hAnsi="Noto Sans"/>
          <w:b/>
          <w:color w:val="1F3864"/>
          <w:sz w:val="27"/>
        </w:rPr>
        <w:t>5. Scope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1F3864"/>
          </w:tcPr>
          <w:p>
            <w:pPr>
              <w:spacing w:after="40"/>
            </w:pPr>
            <w:r>
              <w:rPr>
                <w:rFonts w:ascii="Noto Sans" w:hAnsi="Noto Sans"/>
                <w:b/>
                <w:color w:val="FFFFFF"/>
                <w:sz w:val="17"/>
              </w:rPr>
              <w:t>#</w:t>
            </w:r>
          </w:p>
        </w:tc>
        <w:tc>
          <w:tcPr>
            <w:tcW w:type="dxa" w:w="2045"/>
            <w:shd w:val="clear" w:fill="1F3864"/>
          </w:tcPr>
          <w:p>
            <w:pPr>
              <w:spacing w:after="40"/>
            </w:pPr>
            <w:r>
              <w:rPr>
                <w:rFonts w:ascii="Noto Sans" w:hAnsi="Noto Sans"/>
                <w:b/>
                <w:color w:val="FFFFFF"/>
                <w:sz w:val="17"/>
              </w:rPr>
              <w:t>Question</w:t>
            </w:r>
          </w:p>
        </w:tc>
        <w:tc>
          <w:tcPr>
            <w:tcW w:type="dxa" w:w="2045"/>
            <w:shd w:val="clear" w:fill="1F3864"/>
          </w:tcPr>
          <w:p>
            <w:pPr>
              <w:spacing w:after="40"/>
            </w:pPr>
            <w:r>
              <w:rPr>
                <w:rFonts w:ascii="Noto Sans" w:hAnsi="Noto Sans"/>
                <w:b/>
                <w:color w:val="FFFFFF"/>
                <w:sz w:val="17"/>
              </w:rPr>
              <w:t>Why it matters</w:t>
            </w:r>
          </w:p>
        </w:tc>
        <w:tc>
          <w:tcPr>
            <w:tcW w:type="dxa" w:w="2045"/>
            <w:shd w:val="clear" w:fill="1F3864"/>
          </w:tcPr>
          <w:p>
            <w:pPr>
              <w:spacing w:after="40"/>
            </w:pPr>
            <w:r>
              <w:rPr>
                <w:rFonts w:ascii="Noto Sans" w:hAnsi="Noto Sans"/>
                <w:b/>
                <w:color w:val="FFFFFF"/>
                <w:sz w:val="17"/>
              </w:rPr>
              <w:t>If we do not hear back</w:t>
            </w:r>
          </w:p>
        </w:tc>
        <w:tc>
          <w:tcPr>
            <w:tcW w:type="dxa" w:w="2045"/>
            <w:shd w:val="clear" w:fill="1F3864"/>
          </w:tcPr>
          <w:p>
            <w:pPr>
              <w:spacing w:after="40"/>
            </w:pPr>
            <w:r>
              <w:rPr>
                <w:rFonts w:ascii="Noto Sans" w:hAnsi="Noto Sans"/>
                <w:b/>
                <w:color w:val="FFFFFF"/>
                <w:sz w:val="17"/>
              </w:rPr>
              <w:t>Priority</w:t>
            </w:r>
          </w:p>
        </w:tc>
      </w:tr>
      <w:tr>
        <w:tc>
          <w:tcPr>
            <w:tcW w:type="dxa" w:w="2045"/>
          </w:tcPr>
          <w:p>
            <w:pPr>
              <w:spacing w:after="40"/>
            </w:pPr>
            <w:r>
              <w:rPr>
                <w:rFonts w:ascii="Noto Sans" w:hAnsi="Noto Sans"/>
                <w:b w:val="0"/>
                <w:sz w:val="17"/>
              </w:rPr>
              <w:t>Q11</w:t>
            </w:r>
          </w:p>
        </w:tc>
        <w:tc>
          <w:tcPr>
            <w:tcW w:type="dxa" w:w="2045"/>
          </w:tcPr>
          <w:p>
            <w:pPr>
              <w:spacing w:after="40"/>
            </w:pPr>
            <w:r>
              <w:rPr>
                <w:rFonts w:ascii="Noto Sans" w:hAnsi="Noto Sans"/>
                <w:b w:val="0"/>
                <w:sz w:val="17"/>
              </w:rPr>
              <w:t>Does this apply to portals already built and live, or to new work only?</w:t>
            </w:r>
          </w:p>
        </w:tc>
        <w:tc>
          <w:tcPr>
            <w:tcW w:type="dxa" w:w="2045"/>
          </w:tcPr>
          <w:p>
            <w:pPr>
              <w:spacing w:after="40"/>
            </w:pPr>
            <w:r>
              <w:rPr>
                <w:rFonts w:ascii="Noto Sans" w:hAnsi="Noto Sans"/>
                <w:b w:val="0"/>
                <w:sz w:val="17"/>
              </w:rPr>
              <w:t>The directive asks for no other design system on new development, and also for a full move within three months. This answer affects the size of the job more than anything else here.</w:t>
            </w:r>
          </w:p>
        </w:tc>
        <w:tc>
          <w:tcPr>
            <w:tcW w:type="dxa" w:w="2045"/>
          </w:tcPr>
          <w:p>
            <w:pPr>
              <w:spacing w:after="40"/>
            </w:pPr>
            <w:r>
              <w:rPr>
                <w:rFonts w:ascii="Noto Sans" w:hAnsi="Noto Sans"/>
                <w:b w:val="0"/>
                <w:sz w:val="17"/>
              </w:rPr>
              <w:t>We upgrade existing portals alongside new work and report on both.</w:t>
            </w:r>
          </w:p>
        </w:tc>
        <w:tc>
          <w:tcPr>
            <w:tcW w:type="dxa" w:w="2045"/>
          </w:tcPr>
          <w:p>
            <w:pPr>
              <w:spacing w:after="40"/>
            </w:pPr>
            <w:r>
              <w:rPr>
                <w:rFonts w:ascii="Noto Sans" w:hAnsi="Noto Sans"/>
                <w:b w:val="0"/>
                <w:sz w:val="17"/>
              </w:rPr>
              <w:t>High</w:t>
            </w:r>
          </w:p>
        </w:tc>
      </w:tr>
      <w:tr>
        <w:tc>
          <w:tcPr>
            <w:tcW w:type="dxa" w:w="2045"/>
          </w:tcPr>
          <w:p>
            <w:pPr>
              <w:spacing w:after="40"/>
            </w:pPr>
            <w:r>
              <w:rPr>
                <w:rFonts w:ascii="Noto Sans" w:hAnsi="Noto Sans"/>
                <w:b w:val="0"/>
                <w:sz w:val="17"/>
              </w:rPr>
              <w:t>Q12</w:t>
            </w:r>
          </w:p>
        </w:tc>
        <w:tc>
          <w:tcPr>
            <w:tcW w:type="dxa" w:w="2045"/>
          </w:tcPr>
          <w:p>
            <w:pPr>
              <w:spacing w:after="40"/>
            </w:pPr>
            <w:r>
              <w:rPr>
                <w:rFonts w:ascii="Noto Sans" w:hAnsi="Noto Sans"/>
                <w:b w:val="0"/>
                <w:sz w:val="17"/>
              </w:rPr>
              <w:t>Do designs already approved by stakeholders need approving again once re-themed?</w:t>
            </w:r>
          </w:p>
        </w:tc>
        <w:tc>
          <w:tcPr>
            <w:tcW w:type="dxa" w:w="2045"/>
          </w:tcPr>
          <w:p>
            <w:pPr>
              <w:spacing w:after="40"/>
            </w:pPr>
            <w:r>
              <w:rPr>
                <w:rFonts w:ascii="Noto Sans" w:hAnsi="Noto Sans"/>
                <w:b w:val="0"/>
                <w:sz w:val="17"/>
              </w:rPr>
              <w:t>Some screens have already been signed off, and re-theming changes how they look.</w:t>
            </w:r>
          </w:p>
        </w:tc>
        <w:tc>
          <w:tcPr>
            <w:tcW w:type="dxa" w:w="2045"/>
          </w:tcPr>
          <w:p>
            <w:pPr>
              <w:spacing w:after="40"/>
            </w:pPr>
            <w:r>
              <w:rPr>
                <w:rFonts w:ascii="Noto Sans" w:hAnsi="Noto Sans"/>
                <w:b w:val="0"/>
                <w:sz w:val="17"/>
              </w:rPr>
              <w:t>We re-theme without seeking approval again unless the layout or content changes.</w:t>
            </w:r>
          </w:p>
        </w:tc>
        <w:tc>
          <w:tcPr>
            <w:tcW w:type="dxa" w:w="2045"/>
          </w:tcPr>
          <w:p>
            <w:pPr>
              <w:spacing w:after="40"/>
            </w:pPr>
            <w:r>
              <w:rPr>
                <w:rFonts w:ascii="Noto Sans" w:hAnsi="Noto Sans"/>
                <w:b w:val="0"/>
                <w:sz w:val="17"/>
              </w:rPr>
              <w:t>Medium</w:t>
            </w:r>
          </w:p>
        </w:tc>
      </w:tr>
    </w:tbl>
    <w:p>
      <w:pPr>
        <w:spacing w:after="80"/>
      </w:pPr>
    </w:p>
    <w:p/>
    <w:p>
      <w:pPr>
        <w:spacing w:before="320" w:after="120"/>
      </w:pPr>
      <w:r>
        <w:rPr>
          <w:rFonts w:ascii="Noto Sans" w:hAnsi="Noto Sans"/>
          <w:b/>
          <w:color w:val="1F3864"/>
          <w:sz w:val="27"/>
        </w:rPr>
        <w:t>6. Decisions we have taken</w:t>
      </w:r>
    </w:p>
    <w:p>
      <w:pPr>
        <w:spacing w:after="140"/>
      </w:pPr>
      <w:r>
        <w:rPr>
          <w:rFonts w:ascii="Noto Sans" w:hAnsi="Noto Sans"/>
          <w:sz w:val="21"/>
        </w:rPr>
        <w:t>These are recorded for transparency rather than approval. If any of them looks wrong, we would be glad to hear so, and we will treat them as settled from 18 August.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1F3864"/>
          </w:tcPr>
          <w:p>
            <w:pPr>
              <w:spacing w:after="40"/>
            </w:pPr>
            <w:r>
              <w:rPr>
                <w:rFonts w:ascii="Noto Sans" w:hAnsi="Noto Sans"/>
                <w:b/>
                <w:color w:val="FFFFFF"/>
                <w:sz w:val="17"/>
              </w:rPr>
              <w:t>#</w:t>
            </w:r>
          </w:p>
        </w:tc>
        <w:tc>
          <w:tcPr>
            <w:tcW w:type="dxa" w:w="3408"/>
            <w:shd w:val="clear" w:fill="1F3864"/>
          </w:tcPr>
          <w:p>
            <w:pPr>
              <w:spacing w:after="40"/>
            </w:pPr>
            <w:r>
              <w:rPr>
                <w:rFonts w:ascii="Noto Sans" w:hAnsi="Noto Sans"/>
                <w:b/>
                <w:color w:val="FFFFFF"/>
                <w:sz w:val="17"/>
              </w:rPr>
              <w:t>Decision</w:t>
            </w:r>
          </w:p>
        </w:tc>
        <w:tc>
          <w:tcPr>
            <w:tcW w:type="dxa" w:w="3408"/>
            <w:shd w:val="clear" w:fill="1F3864"/>
          </w:tcPr>
          <w:p>
            <w:pPr>
              <w:spacing w:after="40"/>
            </w:pPr>
            <w:r>
              <w:rPr>
                <w:rFonts w:ascii="Noto Sans" w:hAnsi="Noto Sans"/>
                <w:b/>
                <w:color w:val="FFFFFF"/>
                <w:sz w:val="17"/>
              </w:rPr>
              <w:t>Reasoning</w:t>
            </w:r>
          </w:p>
        </w:tc>
      </w:tr>
      <w:tr>
        <w:tc>
          <w:tcPr>
            <w:tcW w:type="dxa" w:w="3408"/>
          </w:tcPr>
          <w:p>
            <w:pPr>
              <w:spacing w:after="40"/>
            </w:pPr>
            <w:r>
              <w:rPr>
                <w:rFonts w:ascii="Noto Sans" w:hAnsi="Noto Sans"/>
                <w:b w:val="0"/>
                <w:sz w:val="17"/>
              </w:rPr>
              <w:t>R1</w:t>
            </w:r>
          </w:p>
        </w:tc>
        <w:tc>
          <w:tcPr>
            <w:tcW w:type="dxa" w:w="3408"/>
          </w:tcPr>
          <w:p>
            <w:pPr>
              <w:spacing w:after="40"/>
            </w:pPr>
            <w:r>
              <w:rPr>
                <w:rFonts w:ascii="Noto Sans" w:hAnsi="Noto Sans"/>
                <w:b w:val="0"/>
                <w:sz w:val="17"/>
              </w:rPr>
              <w:t>Duplicate the UX4G Community file, move it into our team project, and publish it as one library used across every portal.</w:t>
            </w:r>
          </w:p>
        </w:tc>
        <w:tc>
          <w:tcPr>
            <w:tcW w:type="dxa" w:w="3408"/>
          </w:tcPr>
          <w:p>
            <w:pPr>
              <w:spacing w:after="40"/>
            </w:pPr>
            <w:r>
              <w:rPr>
                <w:rFonts w:ascii="Noto Sans" w:hAnsi="Noto Sans"/>
                <w:b w:val="0"/>
                <w:sz w:val="17"/>
              </w:rPr>
              <w:t>This follows the published UX4G guidance, and one library keeps all our portals consistent.</w:t>
            </w:r>
          </w:p>
        </w:tc>
      </w:tr>
      <w:tr>
        <w:tc>
          <w:tcPr>
            <w:tcW w:type="dxa" w:w="3408"/>
          </w:tcPr>
          <w:p>
            <w:pPr>
              <w:spacing w:after="40"/>
            </w:pPr>
            <w:r>
              <w:rPr>
                <w:rFonts w:ascii="Noto Sans" w:hAnsi="Noto Sans"/>
                <w:b w:val="0"/>
                <w:sz w:val="17"/>
              </w:rPr>
              <w:t>R2</w:t>
            </w:r>
          </w:p>
        </w:tc>
        <w:tc>
          <w:tcPr>
            <w:tcW w:type="dxa" w:w="3408"/>
          </w:tcPr>
          <w:p>
            <w:pPr>
              <w:spacing w:after="40"/>
            </w:pPr>
            <w:r>
              <w:rPr>
                <w:rFonts w:ascii="Noto Sans" w:hAnsi="Noto Sans"/>
                <w:b w:val="0"/>
                <w:sz w:val="17"/>
              </w:rPr>
              <w:t>Apply the ministry's key colour group through Theme Craft, leaving component structure, spacing and states untouched.</w:t>
            </w:r>
          </w:p>
        </w:tc>
        <w:tc>
          <w:tcPr>
            <w:tcW w:type="dxa" w:w="3408"/>
          </w:tcPr>
          <w:p>
            <w:pPr>
              <w:spacing w:after="40"/>
            </w:pPr>
            <w:r>
              <w:rPr>
                <w:rFonts w:ascii="Noto Sans" w:hAnsi="Noto Sans"/>
                <w:b w:val="0"/>
                <w:sz w:val="17"/>
              </w:rPr>
              <w:t>DBIM sets the colour group and Theme Craft is UX4G's own way of applying it.</w:t>
            </w:r>
          </w:p>
        </w:tc>
      </w:tr>
      <w:tr>
        <w:tc>
          <w:tcPr>
            <w:tcW w:type="dxa" w:w="3408"/>
          </w:tcPr>
          <w:p>
            <w:pPr>
              <w:spacing w:after="40"/>
            </w:pPr>
            <w:r>
              <w:rPr>
                <w:rFonts w:ascii="Noto Sans" w:hAnsi="Noto Sans"/>
                <w:b w:val="0"/>
                <w:sz w:val="17"/>
              </w:rPr>
              <w:t>R3</w:t>
            </w:r>
          </w:p>
        </w:tc>
        <w:tc>
          <w:tcPr>
            <w:tcW w:type="dxa" w:w="3408"/>
          </w:tcPr>
          <w:p>
            <w:pPr>
              <w:spacing w:after="40"/>
            </w:pPr>
            <w:r>
              <w:rPr>
                <w:rFonts w:ascii="Noto Sans" w:hAnsi="Noto Sans"/>
                <w:b w:val="0"/>
                <w:sz w:val="17"/>
              </w:rPr>
              <w:t>Check the 2.0 to 3.0 component mapping before changing anything in the library, rather than replacing the library outright.</w:t>
            </w:r>
          </w:p>
        </w:tc>
        <w:tc>
          <w:tcPr>
            <w:tcW w:type="dxa" w:w="3408"/>
          </w:tcPr>
          <w:p>
            <w:pPr>
              <w:spacing w:after="40"/>
            </w:pPr>
            <w:r>
              <w:rPr>
                <w:rFonts w:ascii="Noto Sans" w:hAnsi="Noto Sans"/>
                <w:b w:val="0"/>
                <w:sz w:val="17"/>
              </w:rPr>
              <w:t>Component names may have changed between versions, and replacing a library matches by name. Checking first avoids unlinking work already done.</w:t>
            </w:r>
          </w:p>
        </w:tc>
      </w:tr>
      <w:tr>
        <w:tc>
          <w:tcPr>
            <w:tcW w:type="dxa" w:w="3408"/>
          </w:tcPr>
          <w:p>
            <w:pPr>
              <w:spacing w:after="40"/>
            </w:pPr>
            <w:r>
              <w:rPr>
                <w:rFonts w:ascii="Noto Sans" w:hAnsi="Noto Sans"/>
                <w:b w:val="0"/>
                <w:sz w:val="17"/>
              </w:rPr>
              <w:t>R4</w:t>
            </w:r>
          </w:p>
        </w:tc>
        <w:tc>
          <w:tcPr>
            <w:tcW w:type="dxa" w:w="3408"/>
          </w:tcPr>
          <w:p>
            <w:pPr>
              <w:spacing w:after="40"/>
            </w:pPr>
            <w:r>
              <w:rPr>
                <w:rFonts w:ascii="Noto Sans" w:hAnsi="Noto Sans"/>
                <w:b w:val="0"/>
                <w:sz w:val="17"/>
              </w:rPr>
              <w:t>Keep our existing Material Symbols icons at the size UX4G specifies.</w:t>
            </w:r>
          </w:p>
        </w:tc>
        <w:tc>
          <w:tcPr>
            <w:tcW w:type="dxa" w:w="3408"/>
          </w:tcPr>
          <w:p>
            <w:pPr>
              <w:spacing w:after="40"/>
            </w:pPr>
            <w:r>
              <w:rPr>
                <w:rFonts w:ascii="Noto Sans" w:hAnsi="Noto Sans"/>
                <w:b w:val="0"/>
                <w:sz w:val="17"/>
              </w:rPr>
              <w:t>It is the current version of the icon set UX4G uses by default, so the visual language matches.</w:t>
            </w:r>
          </w:p>
        </w:tc>
      </w:tr>
      <w:tr>
        <w:tc>
          <w:tcPr>
            <w:tcW w:type="dxa" w:w="3408"/>
          </w:tcPr>
          <w:p>
            <w:pPr>
              <w:spacing w:after="40"/>
            </w:pPr>
            <w:r>
              <w:rPr>
                <w:rFonts w:ascii="Noto Sans" w:hAnsi="Noto Sans"/>
                <w:b w:val="0"/>
                <w:sz w:val="17"/>
              </w:rPr>
              <w:t>R5</w:t>
            </w:r>
          </w:p>
        </w:tc>
        <w:tc>
          <w:tcPr>
            <w:tcW w:type="dxa" w:w="3408"/>
          </w:tcPr>
          <w:p>
            <w:pPr>
              <w:spacing w:after="40"/>
            </w:pPr>
            <w:r>
              <w:rPr>
                <w:rFonts w:ascii="Noto Sans" w:hAnsi="Noto Sans"/>
                <w:b w:val="0"/>
                <w:sz w:val="17"/>
              </w:rPr>
              <w:t>Where UX4G has no component, build one on its foundations rather than bringing one in from elsewhere.</w:t>
            </w:r>
          </w:p>
        </w:tc>
        <w:tc>
          <w:tcPr>
            <w:tcW w:type="dxa" w:w="3408"/>
          </w:tcPr>
          <w:p>
            <w:pPr>
              <w:spacing w:after="40"/>
            </w:pPr>
            <w:r>
              <w:rPr>
                <w:rFonts w:ascii="Noto Sans" w:hAnsi="Noto Sans"/>
                <w:b w:val="0"/>
                <w:sz w:val="17"/>
              </w:rPr>
              <w:t>Keeps everything traceable to UX4G and makes the work useful to others.</w:t>
            </w:r>
          </w:p>
        </w:tc>
      </w:tr>
      <w:tr>
        <w:tc>
          <w:tcPr>
            <w:tcW w:type="dxa" w:w="3408"/>
          </w:tcPr>
          <w:p>
            <w:pPr>
              <w:spacing w:after="40"/>
            </w:pPr>
            <w:r>
              <w:rPr>
                <w:rFonts w:ascii="Noto Sans" w:hAnsi="Noto Sans"/>
                <w:b w:val="0"/>
                <w:sz w:val="17"/>
              </w:rPr>
              <w:t>R6</w:t>
            </w:r>
          </w:p>
        </w:tc>
        <w:tc>
          <w:tcPr>
            <w:tcW w:type="dxa" w:w="3408"/>
          </w:tcPr>
          <w:p>
            <w:pPr>
              <w:spacing w:after="40"/>
            </w:pPr>
            <w:r>
              <w:rPr>
                <w:rFonts w:ascii="Noto Sans" w:hAnsi="Noto Sans"/>
                <w:b w:val="0"/>
                <w:sz w:val="17"/>
              </w:rPr>
              <w:t>Only detach a component from the library when we write down the reason.</w:t>
            </w:r>
          </w:p>
        </w:tc>
        <w:tc>
          <w:tcPr>
            <w:tcW w:type="dxa" w:w="3408"/>
          </w:tcPr>
          <w:p>
            <w:pPr>
              <w:spacing w:after="40"/>
            </w:pPr>
            <w:r>
              <w:rPr>
                <w:rFonts w:ascii="Noto Sans" w:hAnsi="Noto Sans"/>
                <w:b w:val="0"/>
                <w:sz w:val="17"/>
              </w:rPr>
              <w:t>Keeps the file honest, and gives us a record if anyone asks later.</w:t>
            </w:r>
          </w:p>
        </w:tc>
      </w:tr>
      <w:tr>
        <w:tc>
          <w:tcPr>
            <w:tcW w:type="dxa" w:w="3408"/>
          </w:tcPr>
          <w:p>
            <w:pPr>
              <w:spacing w:after="40"/>
            </w:pPr>
            <w:r>
              <w:rPr>
                <w:rFonts w:ascii="Noto Sans" w:hAnsi="Noto Sans"/>
                <w:b w:val="0"/>
                <w:sz w:val="17"/>
              </w:rPr>
              <w:t>R7</w:t>
            </w:r>
          </w:p>
        </w:tc>
        <w:tc>
          <w:tcPr>
            <w:tcW w:type="dxa" w:w="3408"/>
          </w:tcPr>
          <w:p>
            <w:pPr>
              <w:spacing w:after="40"/>
            </w:pPr>
            <w:r>
              <w:rPr>
                <w:rFonts w:ascii="Noto Sans" w:hAnsi="Noto Sans"/>
                <w:b w:val="0"/>
                <w:sz w:val="17"/>
              </w:rPr>
              <w:t>Treat new page layouts assembled from existing UX4G components as compliant without separate approval.</w:t>
            </w:r>
          </w:p>
        </w:tc>
        <w:tc>
          <w:tcPr>
            <w:tcW w:type="dxa" w:w="3408"/>
          </w:tcPr>
          <w:p>
            <w:pPr>
              <w:spacing w:after="40"/>
            </w:pPr>
            <w:r>
              <w:rPr>
                <w:rFonts w:ascii="Noto Sans" w:hAnsi="Noto Sans"/>
                <w:b w:val="0"/>
                <w:sz w:val="17"/>
              </w:rPr>
              <w:t>Otherwise every screen needs a sign-off, which would slow things down considerably.</w:t>
            </w:r>
          </w:p>
        </w:tc>
      </w:tr>
      <w:tr>
        <w:tc>
          <w:tcPr>
            <w:tcW w:type="dxa" w:w="3408"/>
          </w:tcPr>
          <w:p>
            <w:pPr>
              <w:spacing w:after="40"/>
            </w:pPr>
            <w:r>
              <w:rPr>
                <w:rFonts w:ascii="Noto Sans" w:hAnsi="Noto Sans"/>
                <w:b w:val="0"/>
                <w:sz w:val="17"/>
              </w:rPr>
              <w:t>R8</w:t>
            </w:r>
          </w:p>
        </w:tc>
        <w:tc>
          <w:tcPr>
            <w:tcW w:type="dxa" w:w="3408"/>
          </w:tcPr>
          <w:p>
            <w:pPr>
              <w:spacing w:after="40"/>
            </w:pPr>
            <w:r>
              <w:rPr>
                <w:rFonts w:ascii="Noto Sans" w:hAnsi="Noto Sans"/>
                <w:b w:val="0"/>
                <w:sz w:val="17"/>
              </w:rPr>
              <w:t>Continue checking accessibility ourselves at page level.</w:t>
            </w:r>
          </w:p>
        </w:tc>
        <w:tc>
          <w:tcPr>
            <w:tcW w:type="dxa" w:w="3408"/>
          </w:tcPr>
          <w:p>
            <w:pPr>
              <w:spacing w:after="40"/>
            </w:pPr>
            <w:r>
              <w:rPr>
                <w:rFonts w:ascii="Noto Sans" w:hAnsi="Noto Sans"/>
                <w:b w:val="0"/>
                <w:sz w:val="17"/>
              </w:rPr>
              <w:t>Compliant components do not by themselves make a page accessible. Heading order, focus order and landmarks stay with us.</w:t>
            </w:r>
          </w:p>
        </w:tc>
      </w:tr>
      <w:tr>
        <w:tc>
          <w:tcPr>
            <w:tcW w:type="dxa" w:w="3408"/>
          </w:tcPr>
          <w:p>
            <w:pPr>
              <w:spacing w:after="40"/>
            </w:pPr>
            <w:r>
              <w:rPr>
                <w:rFonts w:ascii="Noto Sans" w:hAnsi="Noto Sans"/>
                <w:b w:val="0"/>
                <w:sz w:val="17"/>
              </w:rPr>
              <w:t>R9</w:t>
            </w:r>
          </w:p>
        </w:tc>
        <w:tc>
          <w:tcPr>
            <w:tcW w:type="dxa" w:w="3408"/>
          </w:tcPr>
          <w:p>
            <w:pPr>
              <w:spacing w:after="40"/>
            </w:pPr>
            <w:r>
              <w:rPr>
                <w:rFonts w:ascii="Noto Sans" w:hAnsi="Noto Sans"/>
                <w:b w:val="0"/>
                <w:sz w:val="17"/>
              </w:rPr>
              <w:t>Keep a dated copy of the UX4G kit and guidance as they stood on the day we copied them.</w:t>
            </w:r>
          </w:p>
        </w:tc>
        <w:tc>
          <w:tcPr>
            <w:tcW w:type="dxa" w:w="3408"/>
          </w:tcPr>
          <w:p>
            <w:pPr>
              <w:spacing w:after="40"/>
            </w:pPr>
            <w:r>
              <w:rPr>
                <w:rFonts w:ascii="Noto Sans" w:hAnsi="Noto Sans"/>
                <w:b w:val="0"/>
                <w:sz w:val="17"/>
              </w:rPr>
              <w:t>So that a later question about why something looks a certain way can be answered against the guidance as it was at the time.</w:t>
            </w:r>
          </w:p>
        </w:tc>
      </w:tr>
    </w:tbl>
    <w:p>
      <w:pPr>
        <w:spacing w:after="80"/>
      </w:pPr>
    </w:p>
    <w:p/>
    <w:p>
      <w:pPr>
        <w:spacing w:before="320" w:after="120"/>
      </w:pPr>
      <w:r>
        <w:rPr>
          <w:rFonts w:ascii="Noto Sans" w:hAnsi="Noto Sans"/>
          <w:b/>
          <w:color w:val="1F3864"/>
          <w:sz w:val="27"/>
        </w:rPr>
        <w:t>The three that would help most</w:t>
      </w:r>
    </w:p>
    <w:p>
      <w:pPr>
        <w:spacing w:after="140"/>
      </w:pPr>
      <w:r>
        <w:rPr>
          <w:rFonts w:ascii="Noto Sans" w:hAnsi="Noto Sans"/>
          <w:sz w:val="21"/>
        </w:rPr>
        <w:t>If time is short, these three would unblock the most work: how adoption is checked (Q3), whether there is a 2.0 to 3.0 mapping (Q1), and what to do where UX4G has no component (Q8).</w:t>
      </w:r>
    </w:p>
    <w:p>
      <w:pPr>
        <w:spacing w:after="140"/>
      </w:pPr>
      <w:r>
        <w:rPr>
          <w:rFonts w:ascii="Noto Sans" w:hAnsi="Noto Sans"/>
          <w:sz w:val="21"/>
        </w:rPr>
        <w:t>Thank you for the guidance and the weekly sessions, both of which have been genuinely useful.</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