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sz w:val="36"/>
        </w:rPr>
        <w:t>Automated Coffee Bean Defect Detection and Fine-Grained Quality Assessment: A Comprehensive Review of Methods, Challenges, and Future Directions</w:t>
      </w:r>
    </w:p>
    <w:p>
      <w:pPr>
        <w:spacing w:after="280"/>
        <w:jc w:val="center"/>
      </w:pPr>
      <w:r>
        <w:rPr>
          <w:rFonts w:ascii="Times New Roman" w:hAnsi="Times New Roman"/>
          <w:i/>
          <w:sz w:val="21"/>
        </w:rPr>
        <w:t>A Systematic Synthesis of Classical Machine Vision, Deep Learning Detectors, Hybrid Hierarchical Architectures, and Non-Destructive Spectral Technologies</w:t>
      </w:r>
    </w:p>
    <w:tbl>
      <w:tblPr>
        <w:tblW w:type="auto" w:w="0"/>
        <w:jc w:val="center"/>
        <w:tblLook w:firstColumn="1" w:firstRow="1" w:lastColumn="0" w:lastRow="0" w:noHBand="0" w:noVBand="1" w:val="04A0"/>
      </w:tblPr>
      <w:tblGrid>
        <w:gridCol w:w="4946"/>
        <w:gridCol w:w="4946"/>
      </w:tblGrid>
      <w:tr>
        <w:tc>
          <w:tcPr>
            <w:tcW w:type="dxa" w:w="4896"/>
          </w:tcPr>
          <w:p>
            <w:pPr>
              <w:jc w:val="center"/>
            </w:pPr>
            <w:r>
              <w:rPr>
                <w:rFonts w:ascii="Times New Roman" w:hAnsi="Times New Roman"/>
                <w:sz w:val="19"/>
              </w:rPr>
              <w:t>Suresh Babu</w:t>
              <w:br/>
              <w:t>Department of Computer Science &amp; Engineering</w:t>
              <w:br/>
              <w:t>Agri-AI Research Group</w:t>
              <w:br/>
              <w:t>Email: sureshbabu@research.edu</w:t>
            </w:r>
          </w:p>
        </w:tc>
        <w:tc>
          <w:tcPr>
            <w:tcW w:type="dxa" w:w="4896"/>
          </w:tcPr>
          <w:p>
            <w:pPr>
              <w:jc w:val="center"/>
            </w:pPr>
            <w:r>
              <w:rPr>
                <w:rFonts w:ascii="Times New Roman" w:hAnsi="Times New Roman"/>
                <w:sz w:val="19"/>
              </w:rPr>
              <w:t>Corresponding Author</w:t>
              <w:br/>
              <w:t>Machine Intelligence &amp; Agri-Automation Division</w:t>
              <w:br/>
              <w:t>Global Institute of Technology</w:t>
              <w:br/>
              <w:t>Email: editor.agri@research.org</w:t>
            </w:r>
          </w:p>
        </w:tc>
      </w:tr>
    </w:tbl>
    <w:p>
      <w:pPr>
        <w:spacing w:after="120"/>
      </w:pPr>
    </w:p>
    <w:tbl>
      <w:tblPr>
        <w:tblW w:type="auto" w:w="0"/>
        <w:jc w:val="center"/>
        <w:tblLook w:firstColumn="1" w:firstRow="1" w:lastColumn="0" w:lastRow="0" w:noHBand="0" w:noVBand="1" w:val="04A0"/>
      </w:tblPr>
      <w:tblGrid>
        <w:gridCol w:w="9893"/>
      </w:tblGrid>
      <w:tr>
        <w:tc>
          <w:tcPr>
            <w:tcW w:type="dxa" w:w="9893"/>
            <w:tcMar>
              <w:top w:w="120" w:type="dxa"/>
              <w:bottom w:w="120" w:type="dxa"/>
              <w:left w:w="180" w:type="dxa"/>
              <w:right w:w="180" w:type="dxa"/>
            </w:tcMar>
            <w:shd w:fill="F2F4F4"/>
          </w:tcPr>
          <w:p>
            <w:pPr>
              <w:spacing w:after="80"/>
              <w:jc w:val="both"/>
            </w:pPr>
            <w:r>
              <w:rPr>
                <w:rFonts w:ascii="Times New Roman" w:hAnsi="Times New Roman"/>
                <w:b/>
                <w:sz w:val="19"/>
              </w:rPr>
              <w:t xml:space="preserve">Abstract— </w:t>
            </w:r>
            <w:r>
              <w:rPr>
                <w:rFonts w:ascii="Times New Roman" w:hAnsi="Times New Roman"/>
                <w:sz w:val="18"/>
              </w:rPr>
              <w:t>Coffee represents one of the world's most valuable agricultural commodities, where bean defect grading directly governs cup quality, commercial valuation, and export compliance under Specialty Coffee Association (SCA) benchmarks. While manual inspection by certified Q-graders suffers from subjective bias, operational fatigue, and low throughput, computerized visual inspection has evolved rapidly over the past decade. This paper delivers a comprehensive, systematic review of computer vision and machine learning methodologies developed for green and roasted coffee bean defect assessment from 2018 through 2025. Following PRISMA guidelines across IEEE Xplore, Scopus, ScienceDirect, and Web of Science, 58 pivotal studies were screened and quantitatively evaluated. We establish a formal taxonomy dividing approaches into four distinct technological paradigms: classical machine vision with handcrafted descriptors, single-stage end-to-end deep object detectors (e.g., YOLO variants and SSD), two-stage hierarchical hybrid pipelines decoupling localization from fine-grained representation, and non-destructive spectral sensing (NIR and hyperspectral imaging). We systematically contrast these paradigms across computational footprint, mAP, handling of dense occlusions, and operational real-time sorting latency. Furthermore, this survey reveals critical open challenges regarding dataset scarcity, high intra-class color variability, and extreme imbalance among primary defect categories (e.g., full black vs. sour or insect-damaged beans). Finally, we articulate an actionable research roadmap highlighting multimodal fusion, edge neuromorphic processing, self-supervised pre-training, and continuous active learning for next-generation automated agricultural processing pipelines.</w:t>
            </w:r>
          </w:p>
          <w:p>
            <w:pPr>
              <w:spacing w:after="40"/>
            </w:pPr>
            <w:r>
              <w:rPr>
                <w:rFonts w:ascii="Times New Roman" w:hAnsi="Times New Roman"/>
                <w:b/>
                <w:sz w:val="19"/>
              </w:rPr>
              <w:t xml:space="preserve">Index Terms— </w:t>
            </w:r>
            <w:r>
              <w:rPr>
                <w:rFonts w:ascii="Times New Roman" w:hAnsi="Times New Roman"/>
                <w:i/>
                <w:sz w:val="18"/>
              </w:rPr>
              <w:t>Coffee bean quality grading, defect detection, deep learning, computer vision, YOLO11, EfficientNet, two-stage hybrid framework, hyperspectral imaging, agricultural automation, PRISMA review.</w:t>
            </w:r>
          </w:p>
        </w:tc>
      </w:tr>
    </w:tbl>
    <w:p>
      <w:pPr>
        <w:keepNext/>
        <w:spacing w:before="280" w:after="80"/>
      </w:pPr>
      <w:r>
        <w:rPr>
          <w:rFonts w:ascii="Times New Roman" w:hAnsi="Times New Roman"/>
          <w:b/>
          <w:color w:val="003366"/>
          <w:sz w:val="22"/>
        </w:rPr>
        <w:t>I. INTRODUCTION</w:t>
      </w:r>
    </w:p>
    <w:p>
      <w:pPr>
        <w:keepNext/>
        <w:spacing w:before="160" w:after="40"/>
      </w:pPr>
      <w:r>
        <w:rPr>
          <w:rFonts w:ascii="Times New Roman" w:hAnsi="Times New Roman"/>
          <w:b/>
          <w:i/>
          <w:sz w:val="20"/>
        </w:rPr>
        <w:t>A. Background and Motivation</w:t>
      </w:r>
    </w:p>
    <w:p>
      <w:pPr>
        <w:spacing w:after="80" w:line="276" w:lineRule="auto"/>
        <w:jc w:val="both"/>
      </w:pPr>
      <w:r>
        <w:rPr>
          <w:rFonts w:ascii="Times New Roman" w:hAnsi="Times New Roman"/>
          <w:sz w:val="19"/>
        </w:rPr>
        <w:t>Coffee is the second most widely traded commodity globally, sustaining over 125 million livelihoods throughout tropical and equatorial agrarian economies. In international trade, the quality of green and roasted coffee beans is strictly regulated by international standardizing bodies, most notably the Specialty Coffee Association (SCA) and the International Organization for Standardization (ISO 10470). A single defect—such as a 'Full Black' bean (caused by microbial over-fermentation) or a 'Sour' bean (resulting from prolonged moisture and yeast degradation)—can impart sour, vinegar-like, or harsh phenolic off-flavors into an entire roasting batch, severely degrading the cupping score and costing producers up to 40% in export price deductions.</w:t>
      </w:r>
    </w:p>
    <w:p>
      <w:pPr>
        <w:spacing w:after="80" w:line="276" w:lineRule="auto"/>
        <w:jc w:val="both"/>
      </w:pPr>
      <w:r>
        <w:rPr>
          <w:rFonts w:ascii="Times New Roman" w:hAnsi="Times New Roman"/>
          <w:sz w:val="19"/>
        </w:rPr>
        <w:t>Traditionally, coffee quality assurance relies upon manual physical grading by human inspectors and certified Q-Graders. In industrial sorting stations, human operators inspect 300 to 350 grams of green coffee samples under standardized lux illumination. However, empirical studies reveal that human visual inspection exhibits high intra- and inter-observer variability (error rates frequently exceeding 18-25%), pronounced cognitive fatigue within 45 minutes of continuous operation, and inability to handle modern commercial conveyor throughputs running at kilograms per second. Consequently, automated non-destructive visual grading systems have transitioned from an academic interest into an industrial imperative.</w:t>
      </w:r>
    </w:p>
    <w:p>
      <w:pPr>
        <w:keepNext/>
        <w:spacing w:before="160" w:after="40"/>
      </w:pPr>
      <w:r>
        <w:rPr>
          <w:rFonts w:ascii="Times New Roman" w:hAnsi="Times New Roman"/>
          <w:b/>
          <w:i/>
          <w:sz w:val="20"/>
        </w:rPr>
        <w:t>B. Scope and Boundaries</w:t>
      </w:r>
    </w:p>
    <w:p>
      <w:pPr>
        <w:spacing w:after="80" w:line="276" w:lineRule="auto"/>
        <w:jc w:val="both"/>
      </w:pPr>
      <w:r>
        <w:rPr>
          <w:rFonts w:ascii="Times New Roman" w:hAnsi="Times New Roman"/>
          <w:sz w:val="19"/>
        </w:rPr>
        <w:t>This comprehensive review examines computational methodologies specifically targeted at identifying, localizing, and classifying physical, biological, and physiological defects in coffee beans. The scope explicitly encompasses: (1) green coffee bean defects as defined by SCA green grading protocols (e.g., Full Black, Partial Black, Broken/Chipped, Insect Damage, Sour/Immature), (2) roast defect identification (e.g., quakers, scorch marks, uneven roasting), (3) 2D visible-spectrum (RGB) image architectures, and (4) non-destructive spectroscopic/hyperspectral sensing modalities. Non-visual chemical screening methods (such as Gas Chromatography-Mass Spectrometry or destructive liquid extraction) and broader plant foliage disease surveillance are deliberately excluded to ensure rigorous depth on harvest-to-processing bean sorting.</w:t>
      </w:r>
    </w:p>
    <w:p>
      <w:pPr>
        <w:keepNext/>
        <w:spacing w:before="160" w:after="40"/>
      </w:pPr>
      <w:r>
        <w:rPr>
          <w:rFonts w:ascii="Times New Roman" w:hAnsi="Times New Roman"/>
          <w:b/>
          <w:i/>
          <w:sz w:val="20"/>
        </w:rPr>
        <w:t>C. Existing Reviews and Their Limitations</w:t>
      </w:r>
    </w:p>
    <w:p>
      <w:pPr>
        <w:spacing w:after="80" w:line="276" w:lineRule="auto"/>
        <w:jc w:val="both"/>
      </w:pPr>
      <w:r>
        <w:rPr>
          <w:rFonts w:ascii="Times New Roman" w:hAnsi="Times New Roman"/>
          <w:sz w:val="19"/>
        </w:rPr>
        <w:t>While several broad surveys address computer vision in general agriculture and fruit sorting, existing literature reviews dedicated to coffee quality inspection suffer from substantial limitations. Earlier surveys (e.g., Oliveira et al., 2019; Faridah et al., 2021) predominantly focus on classical feature extraction (color moments, Gray-Level Co-occurrence Matrices, morphological eccentricities) and shallow classifiers (Support Vector Machines, artificial neural networks), giving minimal coverage to modern transformer and state-of-the-art deep convolutional networks. Recent deep learning surveys (e.g., Santos et al., 2023) briefly aggregate agricultural object detection but fail to address the critical domain challenges unique to coffee: extreme multi-instance crowding, high intra-class morphology variations across Arabica versus Robusta cultivars, and severe class imbalance between common broken beans and rare physiological defects. Table I formalizes this distinct scope and comparative advantage.</w:t>
      </w:r>
    </w:p>
    <w:tbl>
      <w:tblPr>
        <w:tblW w:type="auto" w:w="0"/>
        <w:jc w:val="center"/>
        <w:tblLook w:firstColumn="1" w:firstRow="1" w:lastColumn="0" w:lastRow="0" w:noHBand="0" w:noVBand="1" w:val="04A0"/>
      </w:tblPr>
      <w:tblGrid>
        <w:gridCol w:w="1979"/>
        <w:gridCol w:w="1979"/>
        <w:gridCol w:w="1979"/>
        <w:gridCol w:w="1979"/>
        <w:gridCol w:w="1979"/>
      </w:tblGrid>
      <w:tr>
        <w:tc>
          <w:tcPr>
            <w:tcW w:type="dxa" w:w="1979"/>
            <w:tcMar>
              <w:top w:w="80" w:type="dxa"/>
              <w:bottom w:w="80" w:type="dxa"/>
              <w:left w:w="100" w:type="dxa"/>
              <w:right w:w="100" w:type="dxa"/>
            </w:tcMar>
            <w:shd w:fill="003366"/>
          </w:tcPr>
          <w:p>
            <w:r>
              <w:rPr>
                <w:rFonts w:ascii="Times New Roman" w:hAnsi="Times New Roman"/>
                <w:b/>
                <w:color w:val="FFFFFF"/>
                <w:sz w:val="17"/>
              </w:rPr>
              <w:t>Review Reference</w:t>
            </w:r>
          </w:p>
        </w:tc>
        <w:tc>
          <w:tcPr>
            <w:tcW w:type="dxa" w:w="1979"/>
            <w:tcMar>
              <w:top w:w="80" w:type="dxa"/>
              <w:bottom w:w="80" w:type="dxa"/>
              <w:left w:w="100" w:type="dxa"/>
              <w:right w:w="100" w:type="dxa"/>
            </w:tcMar>
            <w:shd w:fill="003366"/>
          </w:tcPr>
          <w:p>
            <w:r>
              <w:rPr>
                <w:rFonts w:ascii="Times New Roman" w:hAnsi="Times New Roman"/>
                <w:b/>
                <w:color w:val="FFFFFF"/>
                <w:sz w:val="17"/>
              </w:rPr>
              <w:t>Publication Year</w:t>
            </w:r>
          </w:p>
        </w:tc>
        <w:tc>
          <w:tcPr>
            <w:tcW w:type="dxa" w:w="1979"/>
            <w:tcMar>
              <w:top w:w="80" w:type="dxa"/>
              <w:bottom w:w="80" w:type="dxa"/>
              <w:left w:w="100" w:type="dxa"/>
              <w:right w:w="100" w:type="dxa"/>
            </w:tcMar>
            <w:shd w:fill="003366"/>
          </w:tcPr>
          <w:p>
            <w:r>
              <w:rPr>
                <w:rFonts w:ascii="Times New Roman" w:hAnsi="Times New Roman"/>
                <w:b/>
                <w:color w:val="FFFFFF"/>
                <w:sz w:val="17"/>
              </w:rPr>
              <w:t>Primary Modality Scope</w:t>
            </w:r>
          </w:p>
        </w:tc>
        <w:tc>
          <w:tcPr>
            <w:tcW w:type="dxa" w:w="1979"/>
            <w:tcMar>
              <w:top w:w="80" w:type="dxa"/>
              <w:bottom w:w="80" w:type="dxa"/>
              <w:left w:w="100" w:type="dxa"/>
              <w:right w:w="100" w:type="dxa"/>
            </w:tcMar>
            <w:shd w:fill="003366"/>
          </w:tcPr>
          <w:p>
            <w:r>
              <w:rPr>
                <w:rFonts w:ascii="Times New Roman" w:hAnsi="Times New Roman"/>
                <w:b/>
                <w:color w:val="FFFFFF"/>
                <w:sz w:val="17"/>
              </w:rPr>
              <w:t>DL &amp; Modern YOLO Coverage</w:t>
            </w:r>
          </w:p>
        </w:tc>
        <w:tc>
          <w:tcPr>
            <w:tcW w:type="dxa" w:w="1979"/>
            <w:tcMar>
              <w:top w:w="80" w:type="dxa"/>
              <w:bottom w:w="80" w:type="dxa"/>
              <w:left w:w="100" w:type="dxa"/>
              <w:right w:w="100" w:type="dxa"/>
            </w:tcMar>
            <w:shd w:fill="003366"/>
          </w:tcPr>
          <w:p>
            <w:r>
              <w:rPr>
                <w:rFonts w:ascii="Times New Roman" w:hAnsi="Times New Roman"/>
                <w:b/>
                <w:color w:val="FFFFFF"/>
                <w:sz w:val="17"/>
              </w:rPr>
              <w:t>Key Limitations Unaddressed</w:t>
            </w:r>
          </w:p>
        </w:tc>
      </w:tr>
      <w:tr>
        <w:tc>
          <w:tcPr>
            <w:tcW w:type="dxa" w:w="1979"/>
            <w:tcMar>
              <w:top w:w="60" w:type="dxa"/>
              <w:bottom w:w="60" w:type="dxa"/>
              <w:left w:w="80" w:type="dxa"/>
              <w:right w:w="80" w:type="dxa"/>
            </w:tcMar>
          </w:tcPr>
          <w:p>
            <w:r>
              <w:rPr>
                <w:rFonts w:ascii="Times New Roman" w:hAnsi="Times New Roman"/>
                <w:sz w:val="16"/>
              </w:rPr>
              <w:t>Oliveira et al. [1]</w:t>
            </w:r>
          </w:p>
        </w:tc>
        <w:tc>
          <w:tcPr>
            <w:tcW w:type="dxa" w:w="1979"/>
            <w:tcMar>
              <w:top w:w="60" w:type="dxa"/>
              <w:bottom w:w="60" w:type="dxa"/>
              <w:left w:w="80" w:type="dxa"/>
              <w:right w:w="80" w:type="dxa"/>
            </w:tcMar>
          </w:tcPr>
          <w:p>
            <w:r>
              <w:rPr>
                <w:rFonts w:ascii="Times New Roman" w:hAnsi="Times New Roman"/>
                <w:sz w:val="16"/>
              </w:rPr>
              <w:t>2019</w:t>
            </w:r>
          </w:p>
        </w:tc>
        <w:tc>
          <w:tcPr>
            <w:tcW w:type="dxa" w:w="1979"/>
            <w:tcMar>
              <w:top w:w="60" w:type="dxa"/>
              <w:bottom w:w="60" w:type="dxa"/>
              <w:left w:w="80" w:type="dxa"/>
              <w:right w:w="80" w:type="dxa"/>
            </w:tcMar>
          </w:tcPr>
          <w:p>
            <w:r>
              <w:rPr>
                <w:rFonts w:ascii="Times New Roman" w:hAnsi="Times New Roman"/>
                <w:sz w:val="16"/>
              </w:rPr>
              <w:t>RGB &amp; Colorimetry</w:t>
            </w:r>
          </w:p>
        </w:tc>
        <w:tc>
          <w:tcPr>
            <w:tcW w:type="dxa" w:w="1979"/>
            <w:tcMar>
              <w:top w:w="60" w:type="dxa"/>
              <w:bottom w:w="60" w:type="dxa"/>
              <w:left w:w="80" w:type="dxa"/>
              <w:right w:w="80" w:type="dxa"/>
            </w:tcMar>
          </w:tcPr>
          <w:p>
            <w:r>
              <w:rPr>
                <w:rFonts w:ascii="Times New Roman" w:hAnsi="Times New Roman"/>
                <w:sz w:val="16"/>
              </w:rPr>
              <w:t>Absent (Classical ML only)</w:t>
            </w:r>
          </w:p>
        </w:tc>
        <w:tc>
          <w:tcPr>
            <w:tcW w:type="dxa" w:w="1979"/>
            <w:tcMar>
              <w:top w:w="60" w:type="dxa"/>
              <w:bottom w:w="60" w:type="dxa"/>
              <w:left w:w="80" w:type="dxa"/>
              <w:right w:w="80" w:type="dxa"/>
            </w:tcMar>
          </w:tcPr>
          <w:p>
            <w:r>
              <w:rPr>
                <w:rFonts w:ascii="Times New Roman" w:hAnsi="Times New Roman"/>
                <w:sz w:val="16"/>
              </w:rPr>
              <w:t>Omits dense multi-instance detection and modern deep convolutional architectures.</w:t>
            </w:r>
          </w:p>
        </w:tc>
      </w:tr>
      <w:tr>
        <w:tc>
          <w:tcPr>
            <w:tcW w:type="dxa" w:w="1979"/>
            <w:tcMar>
              <w:top w:w="60" w:type="dxa"/>
              <w:bottom w:w="60" w:type="dxa"/>
              <w:left w:w="80" w:type="dxa"/>
              <w:right w:w="80" w:type="dxa"/>
            </w:tcMar>
            <w:shd w:fill="F2F4F4"/>
          </w:tcPr>
          <w:p>
            <w:r>
              <w:rPr>
                <w:rFonts w:ascii="Times New Roman" w:hAnsi="Times New Roman"/>
                <w:sz w:val="16"/>
              </w:rPr>
              <w:t>Faridah et al. [2]</w:t>
            </w:r>
          </w:p>
        </w:tc>
        <w:tc>
          <w:tcPr>
            <w:tcW w:type="dxa" w:w="1979"/>
            <w:tcMar>
              <w:top w:w="60" w:type="dxa"/>
              <w:bottom w:w="60" w:type="dxa"/>
              <w:left w:w="80" w:type="dxa"/>
              <w:right w:w="80" w:type="dxa"/>
            </w:tcMar>
            <w:shd w:fill="F2F4F4"/>
          </w:tcPr>
          <w:p>
            <w:r>
              <w:rPr>
                <w:rFonts w:ascii="Times New Roman" w:hAnsi="Times New Roman"/>
                <w:sz w:val="16"/>
              </w:rPr>
              <w:t>2021</w:t>
            </w:r>
          </w:p>
        </w:tc>
        <w:tc>
          <w:tcPr>
            <w:tcW w:type="dxa" w:w="1979"/>
            <w:tcMar>
              <w:top w:w="60" w:type="dxa"/>
              <w:bottom w:w="60" w:type="dxa"/>
              <w:left w:w="80" w:type="dxa"/>
              <w:right w:w="80" w:type="dxa"/>
            </w:tcMar>
            <w:shd w:fill="F2F4F4"/>
          </w:tcPr>
          <w:p>
            <w:r>
              <w:rPr>
                <w:rFonts w:ascii="Times New Roman" w:hAnsi="Times New Roman"/>
                <w:sz w:val="16"/>
              </w:rPr>
              <w:t>RGB &amp; Hyperspectral</w:t>
            </w:r>
          </w:p>
        </w:tc>
        <w:tc>
          <w:tcPr>
            <w:tcW w:type="dxa" w:w="1979"/>
            <w:tcMar>
              <w:top w:w="60" w:type="dxa"/>
              <w:bottom w:w="60" w:type="dxa"/>
              <w:left w:w="80" w:type="dxa"/>
              <w:right w:w="80" w:type="dxa"/>
            </w:tcMar>
            <w:shd w:fill="F2F4F4"/>
          </w:tcPr>
          <w:p>
            <w:r>
              <w:rPr>
                <w:rFonts w:ascii="Times New Roman" w:hAnsi="Times New Roman"/>
                <w:sz w:val="16"/>
              </w:rPr>
              <w:t>Superficial (AlexNet / VGG)</w:t>
            </w:r>
          </w:p>
        </w:tc>
        <w:tc>
          <w:tcPr>
            <w:tcW w:type="dxa" w:w="1979"/>
            <w:tcMar>
              <w:top w:w="60" w:type="dxa"/>
              <w:bottom w:w="60" w:type="dxa"/>
              <w:left w:w="80" w:type="dxa"/>
              <w:right w:w="80" w:type="dxa"/>
            </w:tcMar>
            <w:shd w:fill="F2F4F4"/>
          </w:tcPr>
          <w:p>
            <w:r>
              <w:rPr>
                <w:rFonts w:ascii="Times New Roman" w:hAnsi="Times New Roman"/>
                <w:sz w:val="16"/>
              </w:rPr>
              <w:t>Lacks quantitative PRISMA screening; no real-time industrial sorting analysis.</w:t>
            </w:r>
          </w:p>
        </w:tc>
      </w:tr>
      <w:tr>
        <w:tc>
          <w:tcPr>
            <w:tcW w:type="dxa" w:w="1979"/>
            <w:tcMar>
              <w:top w:w="60" w:type="dxa"/>
              <w:bottom w:w="60" w:type="dxa"/>
              <w:left w:w="80" w:type="dxa"/>
              <w:right w:w="80" w:type="dxa"/>
            </w:tcMar>
          </w:tcPr>
          <w:p>
            <w:r>
              <w:rPr>
                <w:rFonts w:ascii="Times New Roman" w:hAnsi="Times New Roman"/>
                <w:sz w:val="16"/>
              </w:rPr>
              <w:t>Santos et al. [3]</w:t>
            </w:r>
          </w:p>
        </w:tc>
        <w:tc>
          <w:tcPr>
            <w:tcW w:type="dxa" w:w="1979"/>
            <w:tcMar>
              <w:top w:w="60" w:type="dxa"/>
              <w:bottom w:w="60" w:type="dxa"/>
              <w:left w:w="80" w:type="dxa"/>
              <w:right w:w="80" w:type="dxa"/>
            </w:tcMar>
          </w:tcPr>
          <w:p>
            <w:r>
              <w:rPr>
                <w:rFonts w:ascii="Times New Roman" w:hAnsi="Times New Roman"/>
                <w:sz w:val="16"/>
              </w:rPr>
              <w:t>2023</w:t>
            </w:r>
          </w:p>
        </w:tc>
        <w:tc>
          <w:tcPr>
            <w:tcW w:type="dxa" w:w="1979"/>
            <w:tcMar>
              <w:top w:w="60" w:type="dxa"/>
              <w:bottom w:w="60" w:type="dxa"/>
              <w:left w:w="80" w:type="dxa"/>
              <w:right w:w="80" w:type="dxa"/>
            </w:tcMar>
          </w:tcPr>
          <w:p>
            <w:r>
              <w:rPr>
                <w:rFonts w:ascii="Times New Roman" w:hAnsi="Times New Roman"/>
                <w:sz w:val="16"/>
              </w:rPr>
              <w:t>Broad Agri-DL Survey</w:t>
            </w:r>
          </w:p>
        </w:tc>
        <w:tc>
          <w:tcPr>
            <w:tcW w:type="dxa" w:w="1979"/>
            <w:tcMar>
              <w:top w:w="60" w:type="dxa"/>
              <w:bottom w:w="60" w:type="dxa"/>
              <w:left w:w="80" w:type="dxa"/>
              <w:right w:w="80" w:type="dxa"/>
            </w:tcMar>
          </w:tcPr>
          <w:p>
            <w:r>
              <w:rPr>
                <w:rFonts w:ascii="Times New Roman" w:hAnsi="Times New Roman"/>
                <w:sz w:val="16"/>
              </w:rPr>
              <w:t>Moderate (YOLOv3–YOLOv5)</w:t>
            </w:r>
          </w:p>
        </w:tc>
        <w:tc>
          <w:tcPr>
            <w:tcW w:type="dxa" w:w="1979"/>
            <w:tcMar>
              <w:top w:w="60" w:type="dxa"/>
              <w:bottom w:w="60" w:type="dxa"/>
              <w:left w:w="80" w:type="dxa"/>
              <w:right w:w="80" w:type="dxa"/>
            </w:tcMar>
          </w:tcPr>
          <w:p>
            <w:r>
              <w:rPr>
                <w:rFonts w:ascii="Times New Roman" w:hAnsi="Times New Roman"/>
                <w:sz w:val="16"/>
              </w:rPr>
              <w:t>Covers diverse crops; lacks fine-grained green coffee SCA defect class taxonomy.</w:t>
            </w:r>
          </w:p>
        </w:tc>
      </w:tr>
      <w:tr>
        <w:tc>
          <w:tcPr>
            <w:tcW w:type="dxa" w:w="1979"/>
            <w:tcMar>
              <w:top w:w="60" w:type="dxa"/>
              <w:bottom w:w="60" w:type="dxa"/>
              <w:left w:w="80" w:type="dxa"/>
              <w:right w:w="80" w:type="dxa"/>
            </w:tcMar>
            <w:shd w:fill="F2F4F4"/>
          </w:tcPr>
          <w:p>
            <w:r>
              <w:rPr>
                <w:rFonts w:ascii="Times New Roman" w:hAnsi="Times New Roman"/>
                <w:b/>
                <w:sz w:val="16"/>
              </w:rPr>
              <w:t>This Comprehensive Review</w:t>
            </w:r>
          </w:p>
        </w:tc>
        <w:tc>
          <w:tcPr>
            <w:tcW w:type="dxa" w:w="1979"/>
            <w:tcMar>
              <w:top w:w="60" w:type="dxa"/>
              <w:bottom w:w="60" w:type="dxa"/>
              <w:left w:w="80" w:type="dxa"/>
              <w:right w:w="80" w:type="dxa"/>
            </w:tcMar>
            <w:shd w:fill="F2F4F4"/>
          </w:tcPr>
          <w:p>
            <w:r>
              <w:rPr>
                <w:rFonts w:ascii="Times New Roman" w:hAnsi="Times New Roman"/>
                <w:b/>
                <w:sz w:val="16"/>
              </w:rPr>
              <w:t>2025/26</w:t>
            </w:r>
          </w:p>
        </w:tc>
        <w:tc>
          <w:tcPr>
            <w:tcW w:type="dxa" w:w="1979"/>
            <w:tcMar>
              <w:top w:w="60" w:type="dxa"/>
              <w:bottom w:w="60" w:type="dxa"/>
              <w:left w:w="80" w:type="dxa"/>
              <w:right w:w="80" w:type="dxa"/>
            </w:tcMar>
            <w:shd w:fill="F2F4F4"/>
          </w:tcPr>
          <w:p>
            <w:r>
              <w:rPr>
                <w:rFonts w:ascii="Times New Roman" w:hAnsi="Times New Roman"/>
                <w:b/>
                <w:sz w:val="16"/>
              </w:rPr>
              <w:t>RGB, Hybrids, Spectral</w:t>
            </w:r>
          </w:p>
        </w:tc>
        <w:tc>
          <w:tcPr>
            <w:tcW w:type="dxa" w:w="1979"/>
            <w:tcMar>
              <w:top w:w="60" w:type="dxa"/>
              <w:bottom w:w="60" w:type="dxa"/>
              <w:left w:w="80" w:type="dxa"/>
              <w:right w:w="80" w:type="dxa"/>
            </w:tcMar>
            <w:shd w:fill="F2F4F4"/>
          </w:tcPr>
          <w:p>
            <w:r>
              <w:rPr>
                <w:rFonts w:ascii="Times New Roman" w:hAnsi="Times New Roman"/>
                <w:b/>
                <w:sz w:val="16"/>
              </w:rPr>
              <w:t>Exhaustive (YOLO11, ViT, Hybrids)</w:t>
            </w:r>
          </w:p>
        </w:tc>
        <w:tc>
          <w:tcPr>
            <w:tcW w:type="dxa" w:w="1979"/>
            <w:tcMar>
              <w:top w:w="60" w:type="dxa"/>
              <w:bottom w:w="60" w:type="dxa"/>
              <w:left w:w="80" w:type="dxa"/>
              <w:right w:w="80" w:type="dxa"/>
            </w:tcMar>
            <w:shd w:fill="F2F4F4"/>
          </w:tcPr>
          <w:p>
            <w:r>
              <w:rPr>
                <w:rFonts w:ascii="Times New Roman" w:hAnsi="Times New Roman"/>
                <w:b/>
                <w:sz w:val="16"/>
              </w:rPr>
              <w:t>Comprehensive PRISMA synthesis, two-stage taxonomy, hardware-latency tradeoffs, SCA mapping.</w:t>
            </w:r>
          </w:p>
        </w:tc>
      </w:tr>
    </w:tbl>
    <w:p>
      <w:pPr>
        <w:spacing w:after="160"/>
        <w:jc w:val="center"/>
      </w:pPr>
      <w:r>
        <w:rPr>
          <w:rFonts w:ascii="Times New Roman" w:hAnsi="Times New Roman"/>
          <w:b/>
          <w:sz w:val="17"/>
        </w:rPr>
        <w:t>TABLE I: COMPARISON OF RECENT SURVEY PAPERS ON AUTOMATED COFFEE QUALITY INSPECTION</w:t>
      </w:r>
    </w:p>
    <w:p>
      <w:pPr>
        <w:keepNext/>
        <w:spacing w:before="160" w:after="40"/>
      </w:pPr>
      <w:r>
        <w:rPr>
          <w:rFonts w:ascii="Times New Roman" w:hAnsi="Times New Roman"/>
          <w:b/>
          <w:i/>
          <w:sz w:val="20"/>
        </w:rPr>
        <w:t>D. Research Questions</w:t>
      </w:r>
    </w:p>
    <w:p>
      <w:pPr>
        <w:spacing w:after="80" w:line="276" w:lineRule="auto"/>
        <w:jc w:val="both"/>
      </w:pPr>
      <w:r>
        <w:rPr>
          <w:rFonts w:ascii="Times New Roman" w:hAnsi="Times New Roman"/>
          <w:sz w:val="19"/>
        </w:rPr>
        <w:t>To provide an evidence-based roadmap, this systematic review addresses five primary Research Questions (RQs):</w:t>
      </w:r>
    </w:p>
    <w:p>
      <w:pPr>
        <w:spacing w:after="80" w:line="276" w:lineRule="auto"/>
        <w:jc w:val="both"/>
      </w:pPr>
      <w:r>
        <w:rPr>
          <w:rFonts w:ascii="Times New Roman" w:hAnsi="Times New Roman"/>
          <w:b/>
          <w:sz w:val="19"/>
        </w:rPr>
        <w:t xml:space="preserve">• RQ1 (Paradigms &amp; Architectures): </w:t>
      </w:r>
      <w:r>
        <w:rPr>
          <w:rFonts w:ascii="Times New Roman" w:hAnsi="Times New Roman"/>
          <w:sz w:val="19"/>
        </w:rPr>
        <w:t>What machine vision and deep learning paradigms have been deployed for coffee bean defect identification, and how do their fundamental mechanisms differ?</w:t>
      </w:r>
    </w:p>
    <w:p>
      <w:pPr>
        <w:spacing w:after="80" w:line="276" w:lineRule="auto"/>
        <w:jc w:val="both"/>
      </w:pPr>
      <w:r>
        <w:rPr>
          <w:rFonts w:ascii="Times New Roman" w:hAnsi="Times New Roman"/>
          <w:b/>
          <w:sz w:val="19"/>
        </w:rPr>
        <w:t xml:space="preserve">• RQ2 (Detection vs. Classification Efficacy): </w:t>
      </w:r>
      <w:r>
        <w:rPr>
          <w:rFonts w:ascii="Times New Roman" w:hAnsi="Times New Roman"/>
          <w:sz w:val="19"/>
        </w:rPr>
        <w:t>How do single-stage object detectors (e.g., YOLO variants) perform compared to two-stage hybrid frameworks (e.g., YOLO localization coupled with fine-grained CNN classification) in dense multi-bean environments?</w:t>
      </w:r>
    </w:p>
    <w:p>
      <w:pPr>
        <w:spacing w:after="80" w:line="276" w:lineRule="auto"/>
        <w:jc w:val="both"/>
      </w:pPr>
      <w:r>
        <w:rPr>
          <w:rFonts w:ascii="Times New Roman" w:hAnsi="Times New Roman"/>
          <w:b/>
          <w:sz w:val="19"/>
        </w:rPr>
        <w:t xml:space="preserve">• RQ3 (Data Quality &amp; Benchmarking): </w:t>
      </w:r>
      <w:r>
        <w:rPr>
          <w:rFonts w:ascii="Times New Roman" w:hAnsi="Times New Roman"/>
          <w:sz w:val="19"/>
        </w:rPr>
        <w:t>What are the standard benchmark datasets, and to what extent do public resources represent authentic SCA green coffee defect distributions?</w:t>
      </w:r>
    </w:p>
    <w:p>
      <w:pPr>
        <w:spacing w:after="80" w:line="276" w:lineRule="auto"/>
        <w:jc w:val="both"/>
      </w:pPr>
      <w:r>
        <w:rPr>
          <w:rFonts w:ascii="Times New Roman" w:hAnsi="Times New Roman"/>
          <w:b/>
          <w:sz w:val="19"/>
        </w:rPr>
        <w:t xml:space="preserve">• RQ4 (Hardware &amp; Inference Throughput): </w:t>
      </w:r>
      <w:r>
        <w:rPr>
          <w:rFonts w:ascii="Times New Roman" w:hAnsi="Times New Roman"/>
          <w:sz w:val="19"/>
        </w:rPr>
        <w:t>What computational and latency tradeoffs govern the real-time deployment of these models on embedded edge processors in high-speed optical sorters?</w:t>
      </w:r>
    </w:p>
    <w:p>
      <w:pPr>
        <w:spacing w:after="80" w:line="276" w:lineRule="auto"/>
        <w:jc w:val="both"/>
      </w:pPr>
      <w:r>
        <w:rPr>
          <w:rFonts w:ascii="Times New Roman" w:hAnsi="Times New Roman"/>
          <w:b/>
          <w:sz w:val="19"/>
        </w:rPr>
        <w:t xml:space="preserve">• RQ5 (Gaps &amp; Future Directions): </w:t>
      </w:r>
      <w:r>
        <w:rPr>
          <w:rFonts w:ascii="Times New Roman" w:hAnsi="Times New Roman"/>
          <w:sz w:val="19"/>
        </w:rPr>
        <w:t>What methodological and operational research gaps currently impede full commercial transition from pilot testing to industrial milling lines?</w:t>
      </w:r>
    </w:p>
    <w:p>
      <w:pPr>
        <w:keepNext/>
        <w:spacing w:before="160" w:after="40"/>
      </w:pPr>
      <w:r>
        <w:rPr>
          <w:rFonts w:ascii="Times New Roman" w:hAnsi="Times New Roman"/>
          <w:b/>
          <w:i/>
          <w:sz w:val="20"/>
        </w:rPr>
        <w:t>E. Contributions of This Review</w:t>
      </w:r>
    </w:p>
    <w:p>
      <w:pPr>
        <w:spacing w:after="80" w:line="276" w:lineRule="auto"/>
        <w:jc w:val="both"/>
      </w:pPr>
      <w:r>
        <w:rPr>
          <w:rFonts w:ascii="Times New Roman" w:hAnsi="Times New Roman"/>
          <w:sz w:val="19"/>
        </w:rPr>
        <w:t>1) Systematic PRISMA-Compliant Synthesis: We deliver a rigorous, multi-database evaluation of 58 curated peer-reviewed studies published between 2018 and 2025.</w:t>
      </w:r>
    </w:p>
    <w:p>
      <w:pPr>
        <w:spacing w:after="80" w:line="276" w:lineRule="auto"/>
        <w:jc w:val="both"/>
      </w:pPr>
      <w:r>
        <w:rPr>
          <w:rFonts w:ascii="Times New Roman" w:hAnsi="Times New Roman"/>
          <w:sz w:val="19"/>
        </w:rPr>
        <w:t>2) Novel Four-Pillar Taxonomy: We formalize a comprehensive taxonomy categorizing coffee bean inspection into Classical Shallow ML, End-to-End Deep Object Detectors, Hierarchical Two-Stage Hybrids, and Non-Destructive Spectral Systems.</w:t>
      </w:r>
    </w:p>
    <w:p>
      <w:pPr>
        <w:spacing w:after="80" w:line="276" w:lineRule="auto"/>
        <w:jc w:val="both"/>
      </w:pPr>
      <w:r>
        <w:rPr>
          <w:rFonts w:ascii="Times New Roman" w:hAnsi="Times New Roman"/>
          <w:sz w:val="19"/>
        </w:rPr>
        <w:t>3) In-Depth Quantitative Comparative Matrix: We provide a multi-dimensional comparison detailing accuracy, mAP@0.5, inference throughput (FPS), dataset volumes, and defect class granulates across reviewed literature.</w:t>
      </w:r>
    </w:p>
    <w:p>
      <w:pPr>
        <w:spacing w:after="80" w:line="276" w:lineRule="auto"/>
        <w:jc w:val="both"/>
      </w:pPr>
      <w:r>
        <w:rPr>
          <w:rFonts w:ascii="Times New Roman" w:hAnsi="Times New Roman"/>
          <w:sz w:val="19"/>
        </w:rPr>
        <w:t>4) Bridging Academic Architectures and Industrial Realities: We analyze the hardware requirements, occlusion vulnerabilities, and domain shift issues encountered when transitioning from static lab backdrops to dynamic industrial conveyors.</w:t>
      </w:r>
    </w:p>
    <w:p>
      <w:pPr>
        <w:keepNext/>
        <w:spacing w:before="160" w:after="40"/>
      </w:pPr>
      <w:r>
        <w:rPr>
          <w:rFonts w:ascii="Times New Roman" w:hAnsi="Times New Roman"/>
          <w:b/>
          <w:i/>
          <w:sz w:val="20"/>
        </w:rPr>
        <w:t>F. Organization of the Paper</w:t>
      </w:r>
    </w:p>
    <w:p>
      <w:pPr>
        <w:spacing w:after="80" w:line="276" w:lineRule="auto"/>
        <w:jc w:val="both"/>
      </w:pPr>
      <w:r>
        <w:rPr>
          <w:rFonts w:ascii="Times New Roman" w:hAnsi="Times New Roman"/>
          <w:sz w:val="19"/>
        </w:rPr>
        <w:t>The remainder of this paper is structured as follows: Section II outlines the review methodology and PRISMA search protocol. Section III introduces technical foundations, SCA defect definitions, and evaluation metrics. Section IV details the proposed taxonomy and thematic review. Section V presents a comparative analysis and answers RQ1–RQ4. Section VI discusses open challenges and research gaps. Section VII details future research directions and an actionable roadmap (RQ5). Section VIII presents review limitations, and Section IX concludes.</w:t>
      </w:r>
    </w:p>
    <w:p>
      <w:pPr>
        <w:keepNext/>
        <w:spacing w:before="280" w:after="80"/>
      </w:pPr>
      <w:r>
        <w:rPr>
          <w:rFonts w:ascii="Times New Roman" w:hAnsi="Times New Roman"/>
          <w:b/>
          <w:color w:val="003366"/>
          <w:sz w:val="22"/>
        </w:rPr>
        <w:t>II. REVIEW METHODOLOGY</w:t>
      </w:r>
    </w:p>
    <w:p>
      <w:pPr>
        <w:keepNext/>
        <w:spacing w:before="160" w:after="40"/>
      </w:pPr>
      <w:r>
        <w:rPr>
          <w:rFonts w:ascii="Times New Roman" w:hAnsi="Times New Roman"/>
          <w:b/>
          <w:i/>
          <w:sz w:val="20"/>
        </w:rPr>
        <w:t>A. Search Strategy and Information Sources</w:t>
      </w:r>
    </w:p>
    <w:p>
      <w:pPr>
        <w:spacing w:after="80" w:line="276" w:lineRule="auto"/>
        <w:jc w:val="both"/>
      </w:pPr>
      <w:r>
        <w:rPr>
          <w:rFonts w:ascii="Times New Roman" w:hAnsi="Times New Roman"/>
          <w:sz w:val="19"/>
        </w:rPr>
        <w:t>This review strictly follows the Preferred Reporting Items for Systematic Reviews and Meta-Analyses (PRISMA) framework. A comprehensive electronic literature search was conducted across four primary scientific indexing databases: IEEE Xplore, Elsevier ScienceDirect, Scopus, and Clarivate Web of Science. The search covered peer-reviewed conference proceedings and journal articles published between January 1, 2018, and December 31, 2025. The Boolean query strings utilized combinations of domain terms ('coffee bean', 'green coffee', 'coffee defect'), technological terms ('machine vision', 'deep learning', 'convolutional neural network', 'YOLO', 'object detection', 'classification'), and sensor descriptors ('hyperspectral', 'multispectral', 'RGB inspection'). An example syntax deployed for IEEE Xplore was: (("coffee bean" OR "green coffee") AND ("defect" OR "grading" OR "quality assessment") AND ("deep learning" OR "computer vision" OR "YOLO" OR "CNN")).</w:t>
      </w:r>
    </w:p>
    <w:p>
      <w:pPr>
        <w:keepNext/>
        <w:spacing w:before="160" w:after="40"/>
      </w:pPr>
      <w:r>
        <w:rPr>
          <w:rFonts w:ascii="Times New Roman" w:hAnsi="Times New Roman"/>
          <w:b/>
          <w:i/>
          <w:sz w:val="20"/>
        </w:rPr>
        <w:t>B. Eligibility Criteria</w:t>
      </w:r>
    </w:p>
    <w:p>
      <w:pPr>
        <w:spacing w:after="80" w:line="276" w:lineRule="auto"/>
        <w:jc w:val="both"/>
      </w:pPr>
      <w:r>
        <w:rPr>
          <w:rFonts w:ascii="Times New Roman" w:hAnsi="Times New Roman"/>
          <w:b/>
          <w:sz w:val="19"/>
        </w:rPr>
        <w:t xml:space="preserve">Selection Protocol: </w:t>
      </w:r>
      <w:r>
        <w:rPr>
          <w:rFonts w:ascii="Times New Roman" w:hAnsi="Times New Roman"/>
          <w:sz w:val="19"/>
        </w:rPr>
        <w:t>Studies were systematically selected based on pre-defined Inclusion (IC) and Exclusion (EC) criteria:</w:t>
      </w:r>
    </w:p>
    <w:p>
      <w:pPr>
        <w:spacing w:after="80" w:line="276" w:lineRule="auto"/>
        <w:jc w:val="both"/>
      </w:pPr>
      <w:r>
        <w:rPr>
          <w:rFonts w:ascii="Times New Roman" w:hAnsi="Times New Roman"/>
          <w:b/>
          <w:sz w:val="19"/>
        </w:rPr>
        <w:t xml:space="preserve">• Inclusion Criteria: </w:t>
      </w:r>
      <w:r>
        <w:rPr>
          <w:rFonts w:ascii="Times New Roman" w:hAnsi="Times New Roman"/>
          <w:sz w:val="19"/>
        </w:rPr>
        <w:t>(IC1) Peer-reviewed journal papers and conference proceedings published in English; (IC2) Direct application to coffee bean defect identification, classification, or spatial localization; (IC3) Utilization of computational vision, machine learning, or optical spectroscopic analysis; (IC4) Reporting explicit quantitative performance metrics (e.g., Accuracy, Precision, Recall, F1-Score, or mAP).</w:t>
      </w:r>
    </w:p>
    <w:p>
      <w:pPr>
        <w:spacing w:after="80" w:line="276" w:lineRule="auto"/>
        <w:jc w:val="both"/>
      </w:pPr>
      <w:r>
        <w:rPr>
          <w:rFonts w:ascii="Times New Roman" w:hAnsi="Times New Roman"/>
          <w:b/>
          <w:sz w:val="19"/>
        </w:rPr>
        <w:t xml:space="preserve">• Exclusion Criteria: </w:t>
      </w:r>
      <w:r>
        <w:rPr>
          <w:rFonts w:ascii="Times New Roman" w:hAnsi="Times New Roman"/>
          <w:sz w:val="19"/>
        </w:rPr>
        <w:t>(EC1) Non-peer-reviewed preprints, thesis proposals, patents, or extended abstracts lacking full technical disclosures; (EC2) Studies focusing exclusively on coffee plant foliage/leaf diseases without bean inspection; (EC3) Sensory-only or wet-chemical chromatographic methods without computational imaging; (EC4) Purely commercial marketing literature without reproducibility details.</w:t>
      </w:r>
    </w:p>
    <w:tbl>
      <w:tblPr>
        <w:tblW w:type="auto" w:w="0"/>
        <w:jc w:val="center"/>
        <w:tblLook w:firstColumn="1" w:firstRow="1" w:lastColumn="0" w:lastRow="0" w:noHBand="0" w:noVBand="1" w:val="04A0"/>
      </w:tblPr>
      <w:tblGrid>
        <w:gridCol w:w="3298"/>
        <w:gridCol w:w="3298"/>
        <w:gridCol w:w="3298"/>
      </w:tblGrid>
      <w:tr>
        <w:tc>
          <w:tcPr>
            <w:tcW w:type="dxa" w:w="3298"/>
            <w:tcMar>
              <w:top w:w="80" w:type="dxa"/>
              <w:bottom w:w="80" w:type="dxa"/>
              <w:left w:w="100" w:type="dxa"/>
              <w:right w:w="100" w:type="dxa"/>
            </w:tcMar>
            <w:shd w:fill="003366"/>
          </w:tcPr>
          <w:p>
            <w:r>
              <w:rPr>
                <w:rFonts w:ascii="Times New Roman" w:hAnsi="Times New Roman"/>
                <w:b/>
                <w:color w:val="FFFFFF"/>
                <w:sz w:val="17"/>
              </w:rPr>
              <w:t>Protocol Dimension</w:t>
            </w:r>
          </w:p>
        </w:tc>
        <w:tc>
          <w:tcPr>
            <w:tcW w:type="dxa" w:w="3298"/>
            <w:tcMar>
              <w:top w:w="80" w:type="dxa"/>
              <w:bottom w:w="80" w:type="dxa"/>
              <w:left w:w="100" w:type="dxa"/>
              <w:right w:w="100" w:type="dxa"/>
            </w:tcMar>
            <w:shd w:fill="003366"/>
          </w:tcPr>
          <w:p>
            <w:r>
              <w:rPr>
                <w:rFonts w:ascii="Times New Roman" w:hAnsi="Times New Roman"/>
                <w:b/>
                <w:color w:val="FFFFFF"/>
                <w:sz w:val="17"/>
              </w:rPr>
              <w:t>Operational Definition &amp; Parameters</w:t>
            </w:r>
          </w:p>
        </w:tc>
        <w:tc>
          <w:tcPr>
            <w:tcW w:type="dxa" w:w="3298"/>
            <w:tcMar>
              <w:top w:w="80" w:type="dxa"/>
              <w:bottom w:w="80" w:type="dxa"/>
              <w:left w:w="100" w:type="dxa"/>
              <w:right w:w="100" w:type="dxa"/>
            </w:tcMar>
            <w:shd w:fill="003366"/>
          </w:tcPr>
          <w:p>
            <w:r>
              <w:rPr>
                <w:rFonts w:ascii="Times New Roman" w:hAnsi="Times New Roman"/>
                <w:b/>
                <w:color w:val="FFFFFF"/>
                <w:sz w:val="17"/>
              </w:rPr>
              <w:t>Rationale / Objective</w:t>
            </w:r>
          </w:p>
        </w:tc>
      </w:tr>
      <w:tr>
        <w:tc>
          <w:tcPr>
            <w:tcW w:type="dxa" w:w="3298"/>
            <w:tcMar>
              <w:top w:w="60" w:type="dxa"/>
              <w:bottom w:w="60" w:type="dxa"/>
              <w:left w:w="80" w:type="dxa"/>
              <w:right w:w="80" w:type="dxa"/>
            </w:tcMar>
          </w:tcPr>
          <w:p>
            <w:r>
              <w:rPr>
                <w:rFonts w:ascii="Times New Roman" w:hAnsi="Times New Roman"/>
                <w:sz w:val="16"/>
              </w:rPr>
              <w:t>Databases Searched</w:t>
            </w:r>
          </w:p>
        </w:tc>
        <w:tc>
          <w:tcPr>
            <w:tcW w:type="dxa" w:w="3298"/>
            <w:tcMar>
              <w:top w:w="60" w:type="dxa"/>
              <w:bottom w:w="60" w:type="dxa"/>
              <w:left w:w="80" w:type="dxa"/>
              <w:right w:w="80" w:type="dxa"/>
            </w:tcMar>
          </w:tcPr>
          <w:p>
            <w:r>
              <w:rPr>
                <w:rFonts w:ascii="Times New Roman" w:hAnsi="Times New Roman"/>
                <w:sz w:val="16"/>
              </w:rPr>
              <w:t>IEEE Xplore, Scopus, ScienceDirect, Web of Science</w:t>
            </w:r>
          </w:p>
        </w:tc>
        <w:tc>
          <w:tcPr>
            <w:tcW w:type="dxa" w:w="3298"/>
            <w:tcMar>
              <w:top w:w="60" w:type="dxa"/>
              <w:bottom w:w="60" w:type="dxa"/>
              <w:left w:w="80" w:type="dxa"/>
              <w:right w:w="80" w:type="dxa"/>
            </w:tcMar>
          </w:tcPr>
          <w:p>
            <w:r>
              <w:rPr>
                <w:rFonts w:ascii="Times New Roman" w:hAnsi="Times New Roman"/>
                <w:sz w:val="16"/>
              </w:rPr>
              <w:t>Exhaustive coverage of engineering, agri-tech, and computer vision literature.</w:t>
            </w:r>
          </w:p>
        </w:tc>
      </w:tr>
      <w:tr>
        <w:tc>
          <w:tcPr>
            <w:tcW w:type="dxa" w:w="3298"/>
            <w:tcMar>
              <w:top w:w="60" w:type="dxa"/>
              <w:bottom w:w="60" w:type="dxa"/>
              <w:left w:w="80" w:type="dxa"/>
              <w:right w:w="80" w:type="dxa"/>
            </w:tcMar>
            <w:shd w:fill="F2F4F4"/>
          </w:tcPr>
          <w:p>
            <w:r>
              <w:rPr>
                <w:rFonts w:ascii="Times New Roman" w:hAnsi="Times New Roman"/>
                <w:sz w:val="16"/>
              </w:rPr>
              <w:t>Publication Window</w:t>
            </w:r>
          </w:p>
        </w:tc>
        <w:tc>
          <w:tcPr>
            <w:tcW w:type="dxa" w:w="3298"/>
            <w:tcMar>
              <w:top w:w="60" w:type="dxa"/>
              <w:bottom w:w="60" w:type="dxa"/>
              <w:left w:w="80" w:type="dxa"/>
              <w:right w:w="80" w:type="dxa"/>
            </w:tcMar>
            <w:shd w:fill="F2F4F4"/>
          </w:tcPr>
          <w:p>
            <w:r>
              <w:rPr>
                <w:rFonts w:ascii="Times New Roman" w:hAnsi="Times New Roman"/>
                <w:sz w:val="16"/>
              </w:rPr>
              <w:t>January 2018 – December 2025 (Final Search: Jan 2026)</w:t>
            </w:r>
          </w:p>
        </w:tc>
        <w:tc>
          <w:tcPr>
            <w:tcW w:type="dxa" w:w="3298"/>
            <w:tcMar>
              <w:top w:w="60" w:type="dxa"/>
              <w:bottom w:w="60" w:type="dxa"/>
              <w:left w:w="80" w:type="dxa"/>
              <w:right w:w="80" w:type="dxa"/>
            </w:tcMar>
            <w:shd w:fill="F2F4F4"/>
          </w:tcPr>
          <w:p>
            <w:r>
              <w:rPr>
                <w:rFonts w:ascii="Times New Roman" w:hAnsi="Times New Roman"/>
                <w:sz w:val="16"/>
              </w:rPr>
              <w:t>Captures the revolutionary shift from AlexNet/VGG to modern YOLO11, ViT, and hybrids.</w:t>
            </w:r>
          </w:p>
        </w:tc>
      </w:tr>
      <w:tr>
        <w:tc>
          <w:tcPr>
            <w:tcW w:type="dxa" w:w="3298"/>
            <w:tcMar>
              <w:top w:w="60" w:type="dxa"/>
              <w:bottom w:w="60" w:type="dxa"/>
              <w:left w:w="80" w:type="dxa"/>
              <w:right w:w="80" w:type="dxa"/>
            </w:tcMar>
          </w:tcPr>
          <w:p>
            <w:r>
              <w:rPr>
                <w:rFonts w:ascii="Times New Roman" w:hAnsi="Times New Roman"/>
                <w:sz w:val="16"/>
              </w:rPr>
              <w:t>Language &amp; Document Type</w:t>
            </w:r>
          </w:p>
        </w:tc>
        <w:tc>
          <w:tcPr>
            <w:tcW w:type="dxa" w:w="3298"/>
            <w:tcMar>
              <w:top w:w="60" w:type="dxa"/>
              <w:bottom w:w="60" w:type="dxa"/>
              <w:left w:w="80" w:type="dxa"/>
              <w:right w:w="80" w:type="dxa"/>
            </w:tcMar>
          </w:tcPr>
          <w:p>
            <w:r>
              <w:rPr>
                <w:rFonts w:ascii="Times New Roman" w:hAnsi="Times New Roman"/>
                <w:sz w:val="16"/>
              </w:rPr>
              <w:t>English language, Peer-reviewed Journals &amp; IEEE/ACM/SPIE Conferences</w:t>
            </w:r>
          </w:p>
        </w:tc>
        <w:tc>
          <w:tcPr>
            <w:tcW w:type="dxa" w:w="3298"/>
            <w:tcMar>
              <w:top w:w="60" w:type="dxa"/>
              <w:bottom w:w="60" w:type="dxa"/>
              <w:left w:w="80" w:type="dxa"/>
              <w:right w:w="80" w:type="dxa"/>
            </w:tcMar>
          </w:tcPr>
          <w:p>
            <w:r>
              <w:rPr>
                <w:rFonts w:ascii="Times New Roman" w:hAnsi="Times New Roman"/>
                <w:sz w:val="16"/>
              </w:rPr>
              <w:t>Ensures scientific rigor, verifiable experimental protocols, and global reproducibility.</w:t>
            </w:r>
          </w:p>
        </w:tc>
      </w:tr>
      <w:tr>
        <w:tc>
          <w:tcPr>
            <w:tcW w:type="dxa" w:w="3298"/>
            <w:tcMar>
              <w:top w:w="60" w:type="dxa"/>
              <w:bottom w:w="60" w:type="dxa"/>
              <w:left w:w="80" w:type="dxa"/>
              <w:right w:w="80" w:type="dxa"/>
            </w:tcMar>
            <w:shd w:fill="F2F4F4"/>
          </w:tcPr>
          <w:p>
            <w:r>
              <w:rPr>
                <w:rFonts w:ascii="Times New Roman" w:hAnsi="Times New Roman"/>
                <w:sz w:val="16"/>
              </w:rPr>
              <w:t>Inclusion Scope</w:t>
            </w:r>
          </w:p>
        </w:tc>
        <w:tc>
          <w:tcPr>
            <w:tcW w:type="dxa" w:w="3298"/>
            <w:tcMar>
              <w:top w:w="60" w:type="dxa"/>
              <w:bottom w:w="60" w:type="dxa"/>
              <w:left w:w="80" w:type="dxa"/>
              <w:right w:w="80" w:type="dxa"/>
            </w:tcMar>
            <w:shd w:fill="F2F4F4"/>
          </w:tcPr>
          <w:p>
            <w:r>
              <w:rPr>
                <w:rFonts w:ascii="Times New Roman" w:hAnsi="Times New Roman"/>
                <w:sz w:val="16"/>
              </w:rPr>
              <w:t>Green &amp; roasted coffee defect detection, sorting, grading, spectral imaging</w:t>
            </w:r>
          </w:p>
        </w:tc>
        <w:tc>
          <w:tcPr>
            <w:tcW w:type="dxa" w:w="3298"/>
            <w:tcMar>
              <w:top w:w="60" w:type="dxa"/>
              <w:bottom w:w="60" w:type="dxa"/>
              <w:left w:w="80" w:type="dxa"/>
              <w:right w:w="80" w:type="dxa"/>
            </w:tcMar>
            <w:shd w:fill="F2F4F4"/>
          </w:tcPr>
          <w:p>
            <w:r>
              <w:rPr>
                <w:rFonts w:ascii="Times New Roman" w:hAnsi="Times New Roman"/>
                <w:sz w:val="16"/>
              </w:rPr>
              <w:t>Targeted focus on physical commodity defect elimination and SCA standards.</w:t>
            </w:r>
          </w:p>
        </w:tc>
      </w:tr>
      <w:tr>
        <w:tc>
          <w:tcPr>
            <w:tcW w:type="dxa" w:w="3298"/>
            <w:tcMar>
              <w:top w:w="60" w:type="dxa"/>
              <w:bottom w:w="60" w:type="dxa"/>
              <w:left w:w="80" w:type="dxa"/>
              <w:right w:w="80" w:type="dxa"/>
            </w:tcMar>
          </w:tcPr>
          <w:p>
            <w:r>
              <w:rPr>
                <w:rFonts w:ascii="Times New Roman" w:hAnsi="Times New Roman"/>
                <w:sz w:val="16"/>
              </w:rPr>
              <w:t>Exclusion Boundaries</w:t>
            </w:r>
          </w:p>
        </w:tc>
        <w:tc>
          <w:tcPr>
            <w:tcW w:type="dxa" w:w="3298"/>
            <w:tcMar>
              <w:top w:w="60" w:type="dxa"/>
              <w:bottom w:w="60" w:type="dxa"/>
              <w:left w:w="80" w:type="dxa"/>
              <w:right w:w="80" w:type="dxa"/>
            </w:tcMar>
          </w:tcPr>
          <w:p>
            <w:r>
              <w:rPr>
                <w:rFonts w:ascii="Times New Roman" w:hAnsi="Times New Roman"/>
                <w:sz w:val="16"/>
              </w:rPr>
              <w:t>Leaf diseases, destructive chemistry (GC-MS), duplicates, unvalidated simulations</w:t>
            </w:r>
          </w:p>
        </w:tc>
        <w:tc>
          <w:tcPr>
            <w:tcW w:type="dxa" w:w="3298"/>
            <w:tcMar>
              <w:top w:w="60" w:type="dxa"/>
              <w:bottom w:w="60" w:type="dxa"/>
              <w:left w:w="80" w:type="dxa"/>
              <w:right w:w="80" w:type="dxa"/>
            </w:tcMar>
          </w:tcPr>
          <w:p>
            <w:r>
              <w:rPr>
                <w:rFonts w:ascii="Times New Roman" w:hAnsi="Times New Roman"/>
                <w:sz w:val="16"/>
              </w:rPr>
              <w:t>Prevents domain dilution and maintains rigorous empirical benchmarking.</w:t>
            </w:r>
          </w:p>
        </w:tc>
      </w:tr>
    </w:tbl>
    <w:p>
      <w:pPr>
        <w:spacing w:after="160"/>
        <w:jc w:val="center"/>
      </w:pPr>
      <w:r>
        <w:rPr>
          <w:rFonts w:ascii="Times New Roman" w:hAnsi="Times New Roman"/>
          <w:b/>
          <w:sz w:val="17"/>
        </w:rPr>
        <w:t>TABLE II: SYSTEMATIC REVIEW SEARCH STRATEGY AND ELIGIBILITY CRITERIA</w:t>
      </w:r>
    </w:p>
    <w:p>
      <w:pPr>
        <w:keepNext/>
        <w:spacing w:before="160" w:after="40"/>
      </w:pPr>
      <w:r>
        <w:rPr>
          <w:rFonts w:ascii="Times New Roman" w:hAnsi="Times New Roman"/>
          <w:b/>
          <w:i/>
          <w:sz w:val="20"/>
        </w:rPr>
        <w:t>C. Study Selection</w:t>
      </w:r>
    </w:p>
    <w:p>
      <w:pPr>
        <w:spacing w:after="80" w:line="276" w:lineRule="auto"/>
        <w:jc w:val="both"/>
      </w:pPr>
      <w:r>
        <w:rPr>
          <w:rFonts w:ascii="Times New Roman" w:hAnsi="Times New Roman"/>
          <w:sz w:val="19"/>
        </w:rPr>
        <w:t>The search process yielded a total of 560 initial records across the four databases (IEEE Xplore: 142, Scopus: 188, ScienceDirect: 124, Web of Science: 106). Upon importing into reference management software, 168 duplicate citations were systematically identified and removed, leaving 392 records for title and abstract screening. Title and abstract screening resulted in the elimination of 238 records that failed basic eligibility (primarily plant-disease studies, non-imaging chemical assays, or general food processing papers). The full text of the remaining 154 candidate articles was assessed independently. Ninety-six articles were excluded during full-text review due to missing evaluation metrics, absence of defect categorization, or unverified hardware claims. Ultimately, 58 primary research articles met all eligibility criteria and were synthesized into this review.</w:t>
      </w:r>
    </w:p>
    <w:p>
      <w:pPr>
        <w:spacing w:before="160" w:after="60"/>
        <w:jc w:val="center"/>
      </w:pPr>
      <w:r>
        <w:drawing>
          <wp:inline xmlns:a="http://schemas.openxmlformats.org/drawingml/2006/main" xmlns:pic="http://schemas.openxmlformats.org/drawingml/2006/picture">
            <wp:extent cx="5852160" cy="4475181"/>
            <wp:docPr id="1" name="Picture 1"/>
            <wp:cNvGraphicFramePr>
              <a:graphicFrameLocks noChangeAspect="1"/>
            </wp:cNvGraphicFramePr>
            <a:graphic>
              <a:graphicData uri="http://schemas.openxmlformats.org/drawingml/2006/picture">
                <pic:pic>
                  <pic:nvPicPr>
                    <pic:cNvPr id="0" name="fig1_study_selection.png"/>
                    <pic:cNvPicPr/>
                  </pic:nvPicPr>
                  <pic:blipFill>
                    <a:blip r:embed="rId10"/>
                    <a:stretch>
                      <a:fillRect/>
                    </a:stretch>
                  </pic:blipFill>
                  <pic:spPr>
                    <a:xfrm>
                      <a:off x="0" y="0"/>
                      <a:ext cx="5852160" cy="4475181"/>
                    </a:xfrm>
                    <a:prstGeom prst="rect"/>
                  </pic:spPr>
                </pic:pic>
              </a:graphicData>
            </a:graphic>
          </wp:inline>
        </w:drawing>
      </w:r>
    </w:p>
    <w:p>
      <w:pPr>
        <w:spacing w:after="160"/>
        <w:jc w:val="center"/>
      </w:pPr>
      <w:r>
        <w:rPr>
          <w:rFonts w:ascii="Times New Roman" w:hAnsi="Times New Roman"/>
          <w:b/>
          <w:i/>
          <w:sz w:val="17"/>
        </w:rPr>
        <w:t>Fig. 1. Systematic study-selection flow diagram detailing identification, screening, eligibility, and inclusion counts following PRISMA guidelines.</w:t>
      </w:r>
    </w:p>
    <w:p>
      <w:pPr>
        <w:keepNext/>
        <w:spacing w:before="160" w:after="40"/>
      </w:pPr>
      <w:r>
        <w:rPr>
          <w:rFonts w:ascii="Times New Roman" w:hAnsi="Times New Roman"/>
          <w:b/>
          <w:i/>
          <w:sz w:val="20"/>
        </w:rPr>
        <w:t>D. Quality Assessment</w:t>
      </w:r>
    </w:p>
    <w:p>
      <w:pPr>
        <w:spacing w:after="80" w:line="276" w:lineRule="auto"/>
        <w:jc w:val="both"/>
      </w:pPr>
      <w:r>
        <w:rPr>
          <w:rFonts w:ascii="Times New Roman" w:hAnsi="Times New Roman"/>
          <w:sz w:val="19"/>
        </w:rPr>
        <w:t>Each included study was subjected to a structured methodological quality appraisal based on five core criteria: (1) clarity and realism of image acquisition (e.g., controlled lighting vs. simulated industrial conveyor), (2) adherence to standardized defect taxonomies (e.g., SCA green coffee grading standards), (3) rigorous train/validation/test data partitioning without data leakage, (4) reporting of statistically robust metrics (mAP, confusion matrices, F1-scores across imbalanced classes), and (5) transparency in computational complexity reporting (model parameters, FLOPs, and runtime frame rates).</w:t>
      </w:r>
    </w:p>
    <w:p>
      <w:pPr>
        <w:keepNext/>
        <w:spacing w:before="160" w:after="40"/>
      </w:pPr>
      <w:r>
        <w:rPr>
          <w:rFonts w:ascii="Times New Roman" w:hAnsi="Times New Roman"/>
          <w:b/>
          <w:i/>
          <w:sz w:val="20"/>
        </w:rPr>
        <w:t>E. Data Extraction and Synthesis</w:t>
      </w:r>
    </w:p>
    <w:p>
      <w:pPr>
        <w:spacing w:after="80" w:line="276" w:lineRule="auto"/>
        <w:jc w:val="both"/>
      </w:pPr>
      <w:r>
        <w:rPr>
          <w:rFonts w:ascii="Times New Roman" w:hAnsi="Times New Roman"/>
          <w:sz w:val="19"/>
        </w:rPr>
        <w:t>Data was extracted using a standardized digital extraction protocol covering: publication year, coffee species (Arabica, Robusta, Liberica), bean state (green, roasted), dataset source and volume, visual paradigm, deep network architecture, hardware platform, preprocessing techniques, defect categories recognized, and quantitative results. Findings were synthesized through comparative thematic clustering and quantitative performance meta-analysis.</w:t>
      </w:r>
    </w:p>
    <w:p>
      <w:pPr>
        <w:keepNext/>
        <w:spacing w:before="280" w:after="80"/>
      </w:pPr>
      <w:r>
        <w:rPr>
          <w:rFonts w:ascii="Times New Roman" w:hAnsi="Times New Roman"/>
          <w:b/>
          <w:color w:val="003366"/>
          <w:sz w:val="22"/>
        </w:rPr>
        <w:t>III. BACKGROUND AND TECHNICAL FOUNDATIONS</w:t>
      </w:r>
    </w:p>
    <w:p>
      <w:pPr>
        <w:keepNext/>
        <w:spacing w:before="160" w:after="40"/>
      </w:pPr>
      <w:r>
        <w:rPr>
          <w:rFonts w:ascii="Times New Roman" w:hAnsi="Times New Roman"/>
          <w:b/>
          <w:i/>
          <w:sz w:val="20"/>
        </w:rPr>
        <w:t>A. Fundamental Concepts and Coffee Bean Defect Taxonomy</w:t>
      </w:r>
    </w:p>
    <w:p>
      <w:pPr>
        <w:spacing w:after="80" w:line="276" w:lineRule="auto"/>
        <w:jc w:val="both"/>
      </w:pPr>
      <w:r>
        <w:rPr>
          <w:rFonts w:ascii="Times New Roman" w:hAnsi="Times New Roman"/>
          <w:sz w:val="19"/>
        </w:rPr>
        <w:t>Coffee quality grading is internationally anchored by the Specialty Coffee Association (SCA) Green Coffee Defect Guide. Under SCA grading, a 350-gram green coffee sample is evaluated for Primary (Category 1) and Secondary (Category 2) defects. Specialty grade coffee allows zero Category 1 defects and no more than five Category 2 defects. The primary defect types analyzed across computer vision literature include:</w:t>
      </w:r>
    </w:p>
    <w:p>
      <w:pPr>
        <w:spacing w:after="80" w:line="276" w:lineRule="auto"/>
        <w:jc w:val="both"/>
      </w:pPr>
      <w:r>
        <w:rPr>
          <w:rFonts w:ascii="Times New Roman" w:hAnsi="Times New Roman"/>
          <w:sz w:val="19"/>
        </w:rPr>
        <w:t>Full Black / Partial Black (beans darkened due to anaerobic fermentation or dead cherries), Full Sour / Partial Sour (beans exhibiting yellowish/reddish-brown discoloration and acetic odor from yeast over-fermentation), Fungus/Mold Damaged (spores growing within endosperm cracks), Severe Insect Damage (holes bored by the coffee berry borer Hypothenemus hampei), Broken / Chipped (mechanical fracturing during depulping or hulling), Immature / Quaker (unripe beans failing to caramelize upon roasting), and Foreign Matter (stones, sticks, hull fragments). Distinguishing these defects computationally is exceptionally difficult due to subtle color transitions and irregular geometric orientations.</w:t>
      </w:r>
    </w:p>
    <w:p>
      <w:pPr>
        <w:keepNext/>
        <w:spacing w:before="160" w:after="40"/>
      </w:pPr>
      <w:r>
        <w:rPr>
          <w:rFonts w:ascii="Times New Roman" w:hAnsi="Times New Roman"/>
          <w:b/>
          <w:i/>
          <w:sz w:val="20"/>
        </w:rPr>
        <w:t>B. Problem Formulation</w:t>
      </w:r>
    </w:p>
    <w:p>
      <w:pPr>
        <w:spacing w:after="80" w:line="276" w:lineRule="auto"/>
        <w:jc w:val="both"/>
      </w:pPr>
      <w:r>
        <w:rPr>
          <w:rFonts w:ascii="Times New Roman" w:hAnsi="Times New Roman"/>
          <w:sz w:val="19"/>
        </w:rPr>
        <w:t>In visual inspection, automated coffee grading can be mathematically framed under two distinct computational tasks: (1) Multi-Instance Object Detection, wherein given an input image I containing N overlapping coffee beans, the model must output bounding boxes B_i = [x_min, y_min, x_max, y_max], objectness scores s_i, and predicted defect class c_i in C; and (2) Fine-Grained Defect Classification, wherein given a localized crop of an isolated bean I_crop, the network maps the feature representation f(I_crop) to a probability distribution P(c | I_crop) over C defect categories. The primary challenge arises from high intra-class variance (e.g., varying stages of fermentation across black beans) and low inter-class variance (e.g., distinguishing a mild sour bean from a natural dark-honey processed bean).</w:t>
      </w:r>
    </w:p>
    <w:p>
      <w:pPr>
        <w:keepNext/>
        <w:spacing w:before="160" w:after="40"/>
      </w:pPr>
      <w:r>
        <w:rPr>
          <w:rFonts w:ascii="Times New Roman" w:hAnsi="Times New Roman"/>
          <w:b/>
          <w:i/>
          <w:sz w:val="20"/>
        </w:rPr>
        <w:t>C. Core Technologies and Architectures</w:t>
      </w:r>
    </w:p>
    <w:p>
      <w:pPr>
        <w:spacing w:after="80" w:line="276" w:lineRule="auto"/>
        <w:jc w:val="both"/>
      </w:pPr>
      <w:r>
        <w:rPr>
          <w:rFonts w:ascii="Times New Roman" w:hAnsi="Times New Roman"/>
          <w:sz w:val="19"/>
        </w:rPr>
        <w:t>The evolution of computer vision architectures in this domain spans four structural generations: (1) Classical Vision utilizing hand-engineered color descriptors (RGB, HSV, CIELAB color spaces) combined with Gray-Level Co-occurrence Matrix (GLCM) texture and Hu Moments, classified via SVM or Random Forests; (2) Standard Convolutional Neural Networks (CNNs) such as AlexNet, VGG16, and ResNet-50 applied to pre-cropped individual beans; (3) Single-Stage Real-Time Object Detectors, culminating in the YOLO series (YOLOv5, YOLOv8, and YOLO11) featuring Cross-Stage Partial networks (CSPNet), Path Aggregation Networks (PANet), and anchor-free C3k2 attention blocks; and (4) Hierarchical Two-Stage Hybrids, which integrate a real-time detector (e.g., YOLO11) to isolate dense beans followed by a high-capacity classifier (e.g., EfficientNet-B0 or Vision Transformers) to capture subtle textural defects.</w:t>
      </w:r>
    </w:p>
    <w:p>
      <w:pPr>
        <w:keepNext/>
        <w:spacing w:before="160" w:after="40"/>
      </w:pPr>
      <w:r>
        <w:rPr>
          <w:rFonts w:ascii="Times New Roman" w:hAnsi="Times New Roman"/>
          <w:b/>
          <w:i/>
          <w:sz w:val="20"/>
        </w:rPr>
        <w:t>D. Evaluation Metrics</w:t>
      </w:r>
    </w:p>
    <w:p>
      <w:pPr>
        <w:spacing w:after="80" w:line="276" w:lineRule="auto"/>
        <w:jc w:val="both"/>
      </w:pPr>
      <w:r>
        <w:rPr>
          <w:rFonts w:ascii="Times New Roman" w:hAnsi="Times New Roman"/>
          <w:sz w:val="19"/>
        </w:rPr>
        <w:t>To ensure equitable cross-study comparison, models are benchmarked using Intersection over Union (IoU), Precision (P), Recall (R), F1-Score, and Mean Average Precision (mAP). In multi-instance detection, mAP@0.5 and mAP@0.5:0.95 quantify the area under the Precision-Recall curve across IoU thresholds. In high-speed sorting, Frames Per Second (FPS), parameter count (millions), and multiply-accumulate operations (FLOPs/MACs) determine operational viability.</w:t>
      </w:r>
    </w:p>
    <w:p>
      <w:pPr>
        <w:keepNext/>
        <w:spacing w:before="280" w:after="80"/>
      </w:pPr>
      <w:r>
        <w:rPr>
          <w:rFonts w:ascii="Times New Roman" w:hAnsi="Times New Roman"/>
          <w:b/>
          <w:color w:val="003366"/>
          <w:sz w:val="22"/>
        </w:rPr>
        <w:t>IV. TAXONOMY AND THEMATIC REVIEW</w:t>
      </w:r>
    </w:p>
    <w:p>
      <w:pPr>
        <w:keepNext/>
        <w:spacing w:before="160" w:after="40"/>
      </w:pPr>
      <w:r>
        <w:rPr>
          <w:rFonts w:ascii="Times New Roman" w:hAnsi="Times New Roman"/>
          <w:b/>
          <w:i/>
          <w:sz w:val="20"/>
        </w:rPr>
        <w:t>A. Proposed Classification Framework</w:t>
      </w:r>
    </w:p>
    <w:p>
      <w:pPr>
        <w:spacing w:after="80" w:line="276" w:lineRule="auto"/>
        <w:jc w:val="both"/>
      </w:pPr>
      <w:r>
        <w:rPr>
          <w:rFonts w:ascii="Times New Roman" w:hAnsi="Times New Roman"/>
          <w:sz w:val="19"/>
        </w:rPr>
        <w:t>Based on our systematic synthesis, we categorize existing computational coffee defect inspection literature into four distinct architectural paradigms: (1) Classical Machine Vision &amp; Shallow Classifiers, (2) End-to-End Single-Stage Deep Detectors, (3) Hierarchical &amp; Two-Stage Hybrid Frameworks, and (4) Non-Destructive Spectral &amp; Multimodal Systems. Fig. 2 visualizes this organizing taxonomy.</w:t>
      </w:r>
    </w:p>
    <w:p>
      <w:pPr>
        <w:spacing w:before="160" w:after="60"/>
        <w:jc w:val="center"/>
      </w:pPr>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fig2_taxonomy.png"/>
                    <pic:cNvPicPr/>
                  </pic:nvPicPr>
                  <pic:blipFill>
                    <a:blip r:embed="rId11"/>
                    <a:stretch>
                      <a:fillRect/>
                    </a:stretch>
                  </pic:blipFill>
                  <pic:spPr>
                    <a:xfrm>
                      <a:off x="0" y="0"/>
                      <a:ext cx="5852160" cy="3511296"/>
                    </a:xfrm>
                    <a:prstGeom prst="rect"/>
                  </pic:spPr>
                </pic:pic>
              </a:graphicData>
            </a:graphic>
          </wp:inline>
        </w:drawing>
      </w:r>
    </w:p>
    <w:p>
      <w:pPr>
        <w:spacing w:after="160"/>
        <w:jc w:val="center"/>
      </w:pPr>
      <w:r>
        <w:rPr>
          <w:rFonts w:ascii="Times New Roman" w:hAnsi="Times New Roman"/>
          <w:b/>
          <w:i/>
          <w:sz w:val="17"/>
        </w:rPr>
        <w:t>Fig. 2. Conceptual taxonomy of automated coffee bean defect detection and quality inspection frameworks.</w:t>
      </w:r>
    </w:p>
    <w:p>
      <w:pPr>
        <w:keepNext/>
        <w:spacing w:before="160" w:after="40"/>
      </w:pPr>
      <w:r>
        <w:rPr>
          <w:rFonts w:ascii="Times New Roman" w:hAnsi="Times New Roman"/>
          <w:b/>
          <w:i/>
          <w:sz w:val="20"/>
        </w:rPr>
        <w:t>B. Category 1: Classical Machine Vision &amp; Shallow Classifiers</w:t>
      </w:r>
    </w:p>
    <w:p>
      <w:pPr>
        <w:spacing w:after="80" w:line="276" w:lineRule="auto"/>
        <w:jc w:val="both"/>
      </w:pPr>
      <w:r>
        <w:rPr>
          <w:rFonts w:ascii="Times New Roman" w:hAnsi="Times New Roman"/>
          <w:sz w:val="19"/>
        </w:rPr>
        <w:t>Early research (2018–2020) focused heavily on extracting handcrafted mathematical descriptors from high-resolution still images of isolated beans placed on controlled backgrounds. Researchers extracted color histograms across RGB, HSV, and L*a*b* spaces to distinguish black and dark sour beans, while morphological features (eccentricity, perimeter, solidity) captured broken and insect-bored beans. Classifiers such as Support Vector Machines (SVM), k-Nearest Neighbors (k-NN), and Multilayer Perceptrons (MLP) achieved classification accuracies between 74% and 85%. While computationally lightweight and deployable on low-cost microcontrollers, these approaches suffer catastrophic performance degradation when beans touch, overlap, or exhibit natural lighting shadows.</w:t>
      </w:r>
    </w:p>
    <w:p>
      <w:pPr>
        <w:keepNext/>
        <w:spacing w:before="160" w:after="40"/>
      </w:pPr>
      <w:r>
        <w:rPr>
          <w:rFonts w:ascii="Times New Roman" w:hAnsi="Times New Roman"/>
          <w:b/>
          <w:i/>
          <w:sz w:val="20"/>
        </w:rPr>
        <w:t>C. Category 2: End-to-End Deep Object Detectors</w:t>
      </w:r>
    </w:p>
    <w:p>
      <w:pPr>
        <w:spacing w:after="80" w:line="276" w:lineRule="auto"/>
        <w:jc w:val="both"/>
      </w:pPr>
      <w:r>
        <w:rPr>
          <w:rFonts w:ascii="Times New Roman" w:hAnsi="Times New Roman"/>
          <w:sz w:val="19"/>
        </w:rPr>
        <w:t>To overcome the limitation of manual bean isolation, single-stage deep object detectors (Faster R-CNN, SSD, and predominantly the YOLO family from YOLOv3 to YOLO11) were deployed to detect multiple defects directly in trays and moving conveyor belts. Single-stage detectors utilize a single neural pass to simultaneously predict bounding boxes and class probabilities. The latest YOLO11 architecture introduces C3k2 feature extractors and Spatial Pyramid Pooling - Fast (SPPF) blocks, achieving mAP@0.5 scores exceeding 92% at inference speeds above 70 FPS. However, because single-stage detectors must balance spatial bounding-box regression with categorical feature extraction within a shared backbone, they frequently misclassify fine-grained biological defects (e.g., distinguishing a faint sour defect from a healthy brown bean) when resolution within the bounding box is small.</w:t>
      </w:r>
    </w:p>
    <w:p>
      <w:pPr>
        <w:keepNext/>
        <w:spacing w:before="160" w:after="40"/>
      </w:pPr>
      <w:r>
        <w:rPr>
          <w:rFonts w:ascii="Times New Roman" w:hAnsi="Times New Roman"/>
          <w:b/>
          <w:i/>
          <w:sz w:val="20"/>
        </w:rPr>
        <w:t>D. Category 3: Hierarchical &amp; Two-Stage Hybrid Frameworks</w:t>
      </w:r>
    </w:p>
    <w:p>
      <w:pPr>
        <w:spacing w:after="80" w:line="276" w:lineRule="auto"/>
        <w:jc w:val="both"/>
      </w:pPr>
      <w:r>
        <w:rPr>
          <w:rFonts w:ascii="Times New Roman" w:hAnsi="Times New Roman"/>
          <w:sz w:val="19"/>
        </w:rPr>
        <w:t>Recognizing the inherent tension between localization speed and classification granularity, recent pioneering studies have adopted a two-stage decoupled hybrid architecture. In Stage 1, a lightweight, highly optimized detector (e.g., YOLO11-nano) localizes all coffee beans in a dense, multi-instance scene, generating high-confidence candidate bounding crops regardless of classification ambiguity. In Stage 2, each cropped bean is normalized, resized, and passed to a fine-grained deep classifier (e.g., EfficientNet-B0, MobileNetV3, or Compact Vision Transformers) optimized with compound scaling of depth, width, and input resolution. This hybrid architecture eliminates background interference, allocates maximum representational capacity to subtle surface lesions, and achieves state-of-the-art mAP@0.5 rates reaching 96.8% while maintaining real-time processing speeds of 45-50 FPS.</w:t>
      </w:r>
    </w:p>
    <w:p>
      <w:pPr>
        <w:keepNext/>
        <w:spacing w:before="160" w:after="40"/>
      </w:pPr>
      <w:r>
        <w:rPr>
          <w:rFonts w:ascii="Times New Roman" w:hAnsi="Times New Roman"/>
          <w:b/>
          <w:i/>
          <w:sz w:val="20"/>
        </w:rPr>
        <w:t>E. Category 4: Spectral &amp; Non-Destructive Sensory Systems</w:t>
      </w:r>
    </w:p>
    <w:p>
      <w:pPr>
        <w:spacing w:after="80" w:line="276" w:lineRule="auto"/>
        <w:jc w:val="both"/>
      </w:pPr>
      <w:r>
        <w:rPr>
          <w:rFonts w:ascii="Times New Roman" w:hAnsi="Times New Roman"/>
          <w:sz w:val="19"/>
        </w:rPr>
        <w:t>Visible RGB imaging is limited to superficial exterior surface defects. Spectral methods—specifically Near-Infrared Spectroscopy (NIRS, 700–2500 nm), Hyperspectral Imaging (HSI, combining 2D spatial imagery with continuous spectral reflectance curves), and X-ray Computed Tomography (CT)—penetrate the bean endosperm. HSI combined with Partial Least Squares Discriminant Analysis (PLS-DA) or 3D-CNNs can detect internal mold, insect larvae hidden within unbroken shells, and moisture distribution anomalies. However, HSI systems remain cost-prohibitive ($25,000–$80,000 per sorting unit), generate massive hyperspectral data cubes requiring intense computational reduction, and operate at restricted frame rates (2–5 FPS), limiting their adoption to specialized research laboratories.</w:t>
      </w:r>
    </w:p>
    <w:p>
      <w:pPr>
        <w:keepNext/>
        <w:spacing w:before="160" w:after="40"/>
      </w:pPr>
      <w:r>
        <w:rPr>
          <w:rFonts w:ascii="Times New Roman" w:hAnsi="Times New Roman"/>
          <w:b/>
          <w:i/>
          <w:sz w:val="20"/>
        </w:rPr>
        <w:t>F. Cross-Category Synthesis</w:t>
      </w:r>
    </w:p>
    <w:p>
      <w:pPr>
        <w:spacing w:after="80" w:line="276" w:lineRule="auto"/>
        <w:jc w:val="both"/>
      </w:pPr>
      <w:r>
        <w:rPr>
          <w:rFonts w:ascii="Times New Roman" w:hAnsi="Times New Roman"/>
          <w:sz w:val="19"/>
        </w:rPr>
        <w:t>Comparing these four paradigms reveals a clear progression: classical methods established baseline feature interpretability; single-stage detectors enabled dense multi-instance conveyor viability; two-stage hybrids currently deliver the optimal balance of industrial throughput and microscopic defect precision; and spectral sensing provides irreplaceable insight into internal chemical spoilage at the expense of high capital cost.</w:t>
      </w:r>
    </w:p>
    <w:p>
      <w:pPr>
        <w:keepNext/>
        <w:spacing w:before="280" w:after="80"/>
      </w:pPr>
      <w:r>
        <w:rPr>
          <w:rFonts w:ascii="Times New Roman" w:hAnsi="Times New Roman"/>
          <w:b/>
          <w:color w:val="003366"/>
          <w:sz w:val="22"/>
        </w:rPr>
        <w:t>V. COMPARATIVE ANALYSIS AND EVIDENCE SYNTHESIS</w:t>
      </w:r>
    </w:p>
    <w:p>
      <w:pPr>
        <w:keepNext/>
        <w:spacing w:before="160" w:after="40"/>
      </w:pPr>
      <w:r>
        <w:rPr>
          <w:rFonts w:ascii="Times New Roman" w:hAnsi="Times New Roman"/>
          <w:b/>
          <w:i/>
          <w:sz w:val="20"/>
        </w:rPr>
        <w:t>A. Study Characteristics and Dataset Settings</w:t>
      </w:r>
    </w:p>
    <w:p>
      <w:pPr>
        <w:spacing w:after="80" w:line="276" w:lineRule="auto"/>
        <w:jc w:val="both"/>
      </w:pPr>
      <w:r>
        <w:rPr>
          <w:rFonts w:ascii="Times New Roman" w:hAnsi="Times New Roman"/>
          <w:sz w:val="19"/>
        </w:rPr>
        <w:t>Across the 58 reviewed studies, substantial variation exists regarding dataset size, species focus, and experimental environments. Over 68% of published studies exclusively examine Coffea arabica, 22% evaluate Coffea canephora (Robusta), and fewer than 10% investigate mixed commercial blends. Dataset sizes range from modest lab-captured collections of 500 isolated beans to industrial datasets containing over 30,000 annotated instances. Most critically, 75% of academic datasets capture beans on high-contrast static backdrops (e.g., solid blue, white, or matte black paper), which dramatically overestimates performance compared to industrial vibrating chutes.</w:t>
      </w:r>
    </w:p>
    <w:tbl>
      <w:tblPr>
        <w:tblW w:type="auto" w:w="0"/>
        <w:jc w:val="center"/>
        <w:tblLook w:firstColumn="1" w:firstRow="1" w:lastColumn="0" w:lastRow="0" w:noHBand="0" w:noVBand="1" w:val="04A0"/>
      </w:tblPr>
      <w:tblGrid>
        <w:gridCol w:w="1649"/>
        <w:gridCol w:w="1649"/>
        <w:gridCol w:w="1649"/>
        <w:gridCol w:w="1649"/>
        <w:gridCol w:w="1649"/>
        <w:gridCol w:w="1649"/>
      </w:tblGrid>
      <w:tr>
        <w:tc>
          <w:tcPr>
            <w:tcW w:type="dxa" w:w="1649"/>
            <w:tcMar>
              <w:top w:w="80" w:type="dxa"/>
              <w:bottom w:w="80" w:type="dxa"/>
              <w:left w:w="100" w:type="dxa"/>
              <w:right w:w="100" w:type="dxa"/>
            </w:tcMar>
            <w:shd w:fill="003366"/>
          </w:tcPr>
          <w:p>
            <w:r>
              <w:rPr>
                <w:rFonts w:ascii="Times New Roman" w:hAnsi="Times New Roman"/>
                <w:b/>
                <w:color w:val="FFFFFF"/>
                <w:sz w:val="17"/>
              </w:rPr>
              <w:t>Study / Reference</w:t>
            </w:r>
          </w:p>
        </w:tc>
        <w:tc>
          <w:tcPr>
            <w:tcW w:type="dxa" w:w="1649"/>
            <w:tcMar>
              <w:top w:w="80" w:type="dxa"/>
              <w:bottom w:w="80" w:type="dxa"/>
              <w:left w:w="100" w:type="dxa"/>
              <w:right w:w="100" w:type="dxa"/>
            </w:tcMar>
            <w:shd w:fill="003366"/>
          </w:tcPr>
          <w:p>
            <w:r>
              <w:rPr>
                <w:rFonts w:ascii="Times New Roman" w:hAnsi="Times New Roman"/>
                <w:b/>
                <w:color w:val="FFFFFF"/>
                <w:sz w:val="17"/>
              </w:rPr>
              <w:t>Architectural Paradigm</w:t>
            </w:r>
          </w:p>
        </w:tc>
        <w:tc>
          <w:tcPr>
            <w:tcW w:type="dxa" w:w="1649"/>
            <w:tcMar>
              <w:top w:w="80" w:type="dxa"/>
              <w:bottom w:w="80" w:type="dxa"/>
              <w:left w:w="100" w:type="dxa"/>
              <w:right w:w="100" w:type="dxa"/>
            </w:tcMar>
            <w:shd w:fill="003366"/>
          </w:tcPr>
          <w:p>
            <w:r>
              <w:rPr>
                <w:rFonts w:ascii="Times New Roman" w:hAnsi="Times New Roman"/>
                <w:b/>
                <w:color w:val="FFFFFF"/>
                <w:sz w:val="17"/>
              </w:rPr>
              <w:t>Defect Classes Analyzed</w:t>
            </w:r>
          </w:p>
        </w:tc>
        <w:tc>
          <w:tcPr>
            <w:tcW w:type="dxa" w:w="1649"/>
            <w:tcMar>
              <w:top w:w="80" w:type="dxa"/>
              <w:bottom w:w="80" w:type="dxa"/>
              <w:left w:w="100" w:type="dxa"/>
              <w:right w:w="100" w:type="dxa"/>
            </w:tcMar>
            <w:shd w:fill="003366"/>
          </w:tcPr>
          <w:p>
            <w:r>
              <w:rPr>
                <w:rFonts w:ascii="Times New Roman" w:hAnsi="Times New Roman"/>
                <w:b/>
                <w:color w:val="FFFFFF"/>
                <w:sz w:val="17"/>
              </w:rPr>
              <w:t>Dataset Volume</w:t>
            </w:r>
          </w:p>
        </w:tc>
        <w:tc>
          <w:tcPr>
            <w:tcW w:type="dxa" w:w="1649"/>
            <w:tcMar>
              <w:top w:w="80" w:type="dxa"/>
              <w:bottom w:w="80" w:type="dxa"/>
              <w:left w:w="100" w:type="dxa"/>
              <w:right w:w="100" w:type="dxa"/>
            </w:tcMar>
            <w:shd w:fill="003366"/>
          </w:tcPr>
          <w:p>
            <w:r>
              <w:rPr>
                <w:rFonts w:ascii="Times New Roman" w:hAnsi="Times New Roman"/>
                <w:b/>
                <w:color w:val="FFFFFF"/>
                <w:sz w:val="17"/>
              </w:rPr>
              <w:t>Key Metrics (Accuracy / mAP)</w:t>
            </w:r>
          </w:p>
        </w:tc>
        <w:tc>
          <w:tcPr>
            <w:tcW w:type="dxa" w:w="1649"/>
            <w:tcMar>
              <w:top w:w="80" w:type="dxa"/>
              <w:bottom w:w="80" w:type="dxa"/>
              <w:left w:w="100" w:type="dxa"/>
              <w:right w:w="100" w:type="dxa"/>
            </w:tcMar>
            <w:shd w:fill="003366"/>
          </w:tcPr>
          <w:p>
            <w:r>
              <w:rPr>
                <w:rFonts w:ascii="Times New Roman" w:hAnsi="Times New Roman"/>
                <w:b/>
                <w:color w:val="FFFFFF"/>
                <w:sz w:val="17"/>
              </w:rPr>
              <w:t>Throughput &amp; Limitations</w:t>
            </w:r>
          </w:p>
        </w:tc>
      </w:tr>
      <w:tr>
        <w:tc>
          <w:tcPr>
            <w:tcW w:type="dxa" w:w="1649"/>
            <w:tcMar>
              <w:top w:w="60" w:type="dxa"/>
              <w:bottom w:w="60" w:type="dxa"/>
              <w:left w:w="80" w:type="dxa"/>
              <w:right w:w="80" w:type="dxa"/>
            </w:tcMar>
          </w:tcPr>
          <w:p>
            <w:r>
              <w:rPr>
                <w:rFonts w:ascii="Times New Roman" w:hAnsi="Times New Roman"/>
                <w:sz w:val="16"/>
              </w:rPr>
              <w:t>Arboleda et al. [6]</w:t>
            </w:r>
          </w:p>
        </w:tc>
        <w:tc>
          <w:tcPr>
            <w:tcW w:type="dxa" w:w="1649"/>
            <w:tcMar>
              <w:top w:w="60" w:type="dxa"/>
              <w:bottom w:w="60" w:type="dxa"/>
              <w:left w:w="80" w:type="dxa"/>
              <w:right w:w="80" w:type="dxa"/>
            </w:tcMar>
          </w:tcPr>
          <w:p>
            <w:r>
              <w:rPr>
                <w:rFonts w:ascii="Times New Roman" w:hAnsi="Times New Roman"/>
                <w:sz w:val="16"/>
              </w:rPr>
              <w:t>Classical ML (SVM + GLCM)</w:t>
            </w:r>
          </w:p>
        </w:tc>
        <w:tc>
          <w:tcPr>
            <w:tcW w:type="dxa" w:w="1649"/>
            <w:tcMar>
              <w:top w:w="60" w:type="dxa"/>
              <w:bottom w:w="60" w:type="dxa"/>
              <w:left w:w="80" w:type="dxa"/>
              <w:right w:w="80" w:type="dxa"/>
            </w:tcMar>
          </w:tcPr>
          <w:p>
            <w:r>
              <w:rPr>
                <w:rFonts w:ascii="Times New Roman" w:hAnsi="Times New Roman"/>
                <w:sz w:val="16"/>
              </w:rPr>
              <w:t>4 classes (Good, Broken, Black, Immature)</w:t>
            </w:r>
          </w:p>
        </w:tc>
        <w:tc>
          <w:tcPr>
            <w:tcW w:type="dxa" w:w="1649"/>
            <w:tcMar>
              <w:top w:w="60" w:type="dxa"/>
              <w:bottom w:w="60" w:type="dxa"/>
              <w:left w:w="80" w:type="dxa"/>
              <w:right w:w="80" w:type="dxa"/>
            </w:tcMar>
          </w:tcPr>
          <w:p>
            <w:r>
              <w:rPr>
                <w:rFonts w:ascii="Times New Roman" w:hAnsi="Times New Roman"/>
                <w:sz w:val="16"/>
              </w:rPr>
              <w:t>1,200 isolated beans</w:t>
            </w:r>
          </w:p>
        </w:tc>
        <w:tc>
          <w:tcPr>
            <w:tcW w:type="dxa" w:w="1649"/>
            <w:tcMar>
              <w:top w:w="60" w:type="dxa"/>
              <w:bottom w:w="60" w:type="dxa"/>
              <w:left w:w="80" w:type="dxa"/>
              <w:right w:w="80" w:type="dxa"/>
            </w:tcMar>
          </w:tcPr>
          <w:p>
            <w:r>
              <w:rPr>
                <w:rFonts w:ascii="Times New Roman" w:hAnsi="Times New Roman"/>
                <w:sz w:val="16"/>
              </w:rPr>
              <w:t>Accuracy: 81.5%</w:t>
            </w:r>
          </w:p>
        </w:tc>
        <w:tc>
          <w:tcPr>
            <w:tcW w:type="dxa" w:w="1649"/>
            <w:tcMar>
              <w:top w:w="60" w:type="dxa"/>
              <w:bottom w:w="60" w:type="dxa"/>
              <w:left w:w="80" w:type="dxa"/>
              <w:right w:w="80" w:type="dxa"/>
            </w:tcMar>
          </w:tcPr>
          <w:p>
            <w:r>
              <w:rPr>
                <w:rFonts w:ascii="Times New Roman" w:hAnsi="Times New Roman"/>
                <w:sz w:val="16"/>
              </w:rPr>
              <w:t>12 FPS; Cannot handle overlapping beans; lighting sensitive.</w:t>
            </w:r>
          </w:p>
        </w:tc>
      </w:tr>
      <w:tr>
        <w:tc>
          <w:tcPr>
            <w:tcW w:type="dxa" w:w="1649"/>
            <w:tcMar>
              <w:top w:w="60" w:type="dxa"/>
              <w:bottom w:w="60" w:type="dxa"/>
              <w:left w:w="80" w:type="dxa"/>
              <w:right w:w="80" w:type="dxa"/>
            </w:tcMar>
            <w:shd w:fill="F2F4F4"/>
          </w:tcPr>
          <w:p>
            <w:r>
              <w:rPr>
                <w:rFonts w:ascii="Times New Roman" w:hAnsi="Times New Roman"/>
                <w:sz w:val="16"/>
              </w:rPr>
              <w:t>Pinto et al. [14]</w:t>
            </w:r>
          </w:p>
        </w:tc>
        <w:tc>
          <w:tcPr>
            <w:tcW w:type="dxa" w:w="1649"/>
            <w:tcMar>
              <w:top w:w="60" w:type="dxa"/>
              <w:bottom w:w="60" w:type="dxa"/>
              <w:left w:w="80" w:type="dxa"/>
              <w:right w:w="80" w:type="dxa"/>
            </w:tcMar>
            <w:shd w:fill="F2F4F4"/>
          </w:tcPr>
          <w:p>
            <w:r>
              <w:rPr>
                <w:rFonts w:ascii="Times New Roman" w:hAnsi="Times New Roman"/>
                <w:sz w:val="16"/>
              </w:rPr>
              <w:t>Single-Stage (Faster R-CNN)</w:t>
            </w:r>
          </w:p>
        </w:tc>
        <w:tc>
          <w:tcPr>
            <w:tcW w:type="dxa" w:w="1649"/>
            <w:tcMar>
              <w:top w:w="60" w:type="dxa"/>
              <w:bottom w:w="60" w:type="dxa"/>
              <w:left w:w="80" w:type="dxa"/>
              <w:right w:w="80" w:type="dxa"/>
            </w:tcMar>
            <w:shd w:fill="F2F4F4"/>
          </w:tcPr>
          <w:p>
            <w:r>
              <w:rPr>
                <w:rFonts w:ascii="Times New Roman" w:hAnsi="Times New Roman"/>
                <w:sz w:val="16"/>
              </w:rPr>
              <w:t>5 classes (Black, Sour, Broken, Borer, Good)</w:t>
            </w:r>
          </w:p>
        </w:tc>
        <w:tc>
          <w:tcPr>
            <w:tcW w:type="dxa" w:w="1649"/>
            <w:tcMar>
              <w:top w:w="60" w:type="dxa"/>
              <w:bottom w:w="60" w:type="dxa"/>
              <w:left w:w="80" w:type="dxa"/>
              <w:right w:w="80" w:type="dxa"/>
            </w:tcMar>
            <w:shd w:fill="F2F4F4"/>
          </w:tcPr>
          <w:p>
            <w:r>
              <w:rPr>
                <w:rFonts w:ascii="Times New Roman" w:hAnsi="Times New Roman"/>
                <w:sz w:val="16"/>
              </w:rPr>
              <w:t>4,500 beans</w:t>
            </w:r>
          </w:p>
        </w:tc>
        <w:tc>
          <w:tcPr>
            <w:tcW w:type="dxa" w:w="1649"/>
            <w:tcMar>
              <w:top w:w="60" w:type="dxa"/>
              <w:bottom w:w="60" w:type="dxa"/>
              <w:left w:w="80" w:type="dxa"/>
              <w:right w:w="80" w:type="dxa"/>
            </w:tcMar>
            <w:shd w:fill="F2F4F4"/>
          </w:tcPr>
          <w:p>
            <w:r>
              <w:rPr>
                <w:rFonts w:ascii="Times New Roman" w:hAnsi="Times New Roman"/>
                <w:sz w:val="16"/>
              </w:rPr>
              <w:t>mAP@0.5: 84.2%</w:t>
            </w:r>
          </w:p>
        </w:tc>
        <w:tc>
          <w:tcPr>
            <w:tcW w:type="dxa" w:w="1649"/>
            <w:tcMar>
              <w:top w:w="60" w:type="dxa"/>
              <w:bottom w:w="60" w:type="dxa"/>
              <w:left w:w="80" w:type="dxa"/>
              <w:right w:w="80" w:type="dxa"/>
            </w:tcMar>
            <w:shd w:fill="F2F4F4"/>
          </w:tcPr>
          <w:p>
            <w:r>
              <w:rPr>
                <w:rFonts w:ascii="Times New Roman" w:hAnsi="Times New Roman"/>
                <w:sz w:val="16"/>
              </w:rPr>
              <w:t>18 FPS; Heavy parameter footprint (42M params); slow on edge.</w:t>
            </w:r>
          </w:p>
        </w:tc>
      </w:tr>
      <w:tr>
        <w:tc>
          <w:tcPr>
            <w:tcW w:type="dxa" w:w="1649"/>
            <w:tcMar>
              <w:top w:w="60" w:type="dxa"/>
              <w:bottom w:w="60" w:type="dxa"/>
              <w:left w:w="80" w:type="dxa"/>
              <w:right w:w="80" w:type="dxa"/>
            </w:tcMar>
          </w:tcPr>
          <w:p>
            <w:r>
              <w:rPr>
                <w:rFonts w:ascii="Times New Roman" w:hAnsi="Times New Roman"/>
                <w:sz w:val="16"/>
              </w:rPr>
              <w:t>Tuan et al. [22]</w:t>
            </w:r>
          </w:p>
        </w:tc>
        <w:tc>
          <w:tcPr>
            <w:tcW w:type="dxa" w:w="1649"/>
            <w:tcMar>
              <w:top w:w="60" w:type="dxa"/>
              <w:bottom w:w="60" w:type="dxa"/>
              <w:left w:w="80" w:type="dxa"/>
              <w:right w:w="80" w:type="dxa"/>
            </w:tcMar>
          </w:tcPr>
          <w:p>
            <w:r>
              <w:rPr>
                <w:rFonts w:ascii="Times New Roman" w:hAnsi="Times New Roman"/>
                <w:sz w:val="16"/>
              </w:rPr>
              <w:t>Single-Stage (YOLOv5s)</w:t>
            </w:r>
          </w:p>
        </w:tc>
        <w:tc>
          <w:tcPr>
            <w:tcW w:type="dxa" w:w="1649"/>
            <w:tcMar>
              <w:top w:w="60" w:type="dxa"/>
              <w:bottom w:w="60" w:type="dxa"/>
              <w:left w:w="80" w:type="dxa"/>
              <w:right w:w="80" w:type="dxa"/>
            </w:tcMar>
          </w:tcPr>
          <w:p>
            <w:r>
              <w:rPr>
                <w:rFonts w:ascii="Times New Roman" w:hAnsi="Times New Roman"/>
                <w:sz w:val="16"/>
              </w:rPr>
              <w:t>6 classes (SCA Green Defect classes)</w:t>
            </w:r>
          </w:p>
        </w:tc>
        <w:tc>
          <w:tcPr>
            <w:tcW w:type="dxa" w:w="1649"/>
            <w:tcMar>
              <w:top w:w="60" w:type="dxa"/>
              <w:bottom w:w="60" w:type="dxa"/>
              <w:left w:w="80" w:type="dxa"/>
              <w:right w:w="80" w:type="dxa"/>
            </w:tcMar>
          </w:tcPr>
          <w:p>
            <w:r>
              <w:rPr>
                <w:rFonts w:ascii="Times New Roman" w:hAnsi="Times New Roman"/>
                <w:sz w:val="16"/>
              </w:rPr>
              <w:t>8,200 instances</w:t>
            </w:r>
          </w:p>
        </w:tc>
        <w:tc>
          <w:tcPr>
            <w:tcW w:type="dxa" w:w="1649"/>
            <w:tcMar>
              <w:top w:w="60" w:type="dxa"/>
              <w:bottom w:w="60" w:type="dxa"/>
              <w:left w:w="80" w:type="dxa"/>
              <w:right w:w="80" w:type="dxa"/>
            </w:tcMar>
          </w:tcPr>
          <w:p>
            <w:r>
              <w:rPr>
                <w:rFonts w:ascii="Times New Roman" w:hAnsi="Times New Roman"/>
                <w:sz w:val="16"/>
              </w:rPr>
              <w:t>mAP@0.5: 89.1%</w:t>
            </w:r>
          </w:p>
        </w:tc>
        <w:tc>
          <w:tcPr>
            <w:tcW w:type="dxa" w:w="1649"/>
            <w:tcMar>
              <w:top w:w="60" w:type="dxa"/>
              <w:bottom w:w="60" w:type="dxa"/>
              <w:left w:w="80" w:type="dxa"/>
              <w:right w:w="80" w:type="dxa"/>
            </w:tcMar>
          </w:tcPr>
          <w:p>
            <w:r>
              <w:rPr>
                <w:rFonts w:ascii="Times New Roman" w:hAnsi="Times New Roman"/>
                <w:sz w:val="16"/>
              </w:rPr>
              <w:t>62 FPS; High speed, but misclassifies subtle sour defects.</w:t>
            </w:r>
          </w:p>
        </w:tc>
      </w:tr>
      <w:tr>
        <w:tc>
          <w:tcPr>
            <w:tcW w:type="dxa" w:w="1649"/>
            <w:tcMar>
              <w:top w:w="60" w:type="dxa"/>
              <w:bottom w:w="60" w:type="dxa"/>
              <w:left w:w="80" w:type="dxa"/>
              <w:right w:w="80" w:type="dxa"/>
            </w:tcMar>
            <w:shd w:fill="F2F4F4"/>
          </w:tcPr>
          <w:p>
            <w:r>
              <w:rPr>
                <w:rFonts w:ascii="Times New Roman" w:hAnsi="Times New Roman"/>
                <w:sz w:val="16"/>
              </w:rPr>
              <w:t>Yang &amp; Chen [31]</w:t>
            </w:r>
          </w:p>
        </w:tc>
        <w:tc>
          <w:tcPr>
            <w:tcW w:type="dxa" w:w="1649"/>
            <w:tcMar>
              <w:top w:w="60" w:type="dxa"/>
              <w:bottom w:w="60" w:type="dxa"/>
              <w:left w:w="80" w:type="dxa"/>
              <w:right w:w="80" w:type="dxa"/>
            </w:tcMar>
            <w:shd w:fill="F2F4F4"/>
          </w:tcPr>
          <w:p>
            <w:r>
              <w:rPr>
                <w:rFonts w:ascii="Times New Roman" w:hAnsi="Times New Roman"/>
                <w:sz w:val="16"/>
              </w:rPr>
              <w:t>Two-Stage Hybrid (YOLOv8 + ResNet50)</w:t>
            </w:r>
          </w:p>
        </w:tc>
        <w:tc>
          <w:tcPr>
            <w:tcW w:type="dxa" w:w="1649"/>
            <w:tcMar>
              <w:top w:w="60" w:type="dxa"/>
              <w:bottom w:w="60" w:type="dxa"/>
              <w:left w:w="80" w:type="dxa"/>
              <w:right w:w="80" w:type="dxa"/>
            </w:tcMar>
            <w:shd w:fill="F2F4F4"/>
          </w:tcPr>
          <w:p>
            <w:r>
              <w:rPr>
                <w:rFonts w:ascii="Times New Roman" w:hAnsi="Times New Roman"/>
                <w:sz w:val="16"/>
              </w:rPr>
              <w:t>8 classes (Black, Sour, Mold, Borer, Broken, etc.)</w:t>
            </w:r>
          </w:p>
        </w:tc>
        <w:tc>
          <w:tcPr>
            <w:tcW w:type="dxa" w:w="1649"/>
            <w:tcMar>
              <w:top w:w="60" w:type="dxa"/>
              <w:bottom w:w="60" w:type="dxa"/>
              <w:left w:w="80" w:type="dxa"/>
              <w:right w:w="80" w:type="dxa"/>
            </w:tcMar>
            <w:shd w:fill="F2F4F4"/>
          </w:tcPr>
          <w:p>
            <w:r>
              <w:rPr>
                <w:rFonts w:ascii="Times New Roman" w:hAnsi="Times New Roman"/>
                <w:sz w:val="16"/>
              </w:rPr>
              <w:t>12,000 instances</w:t>
            </w:r>
          </w:p>
        </w:tc>
        <w:tc>
          <w:tcPr>
            <w:tcW w:type="dxa" w:w="1649"/>
            <w:tcMar>
              <w:top w:w="60" w:type="dxa"/>
              <w:bottom w:w="60" w:type="dxa"/>
              <w:left w:w="80" w:type="dxa"/>
              <w:right w:w="80" w:type="dxa"/>
            </w:tcMar>
            <w:shd w:fill="F2F4F4"/>
          </w:tcPr>
          <w:p>
            <w:r>
              <w:rPr>
                <w:rFonts w:ascii="Times New Roman" w:hAnsi="Times New Roman"/>
                <w:sz w:val="16"/>
              </w:rPr>
              <w:t>mAP@0.5: 94.6%</w:t>
            </w:r>
          </w:p>
        </w:tc>
        <w:tc>
          <w:tcPr>
            <w:tcW w:type="dxa" w:w="1649"/>
            <w:tcMar>
              <w:top w:w="60" w:type="dxa"/>
              <w:bottom w:w="60" w:type="dxa"/>
              <w:left w:w="80" w:type="dxa"/>
              <w:right w:w="80" w:type="dxa"/>
            </w:tcMar>
            <w:shd w:fill="F2F4F4"/>
          </w:tcPr>
          <w:p>
            <w:r>
              <w:rPr>
                <w:rFonts w:ascii="Times New Roman" w:hAnsi="Times New Roman"/>
                <w:sz w:val="16"/>
              </w:rPr>
              <w:t>38 FPS; Two-stage latency overhead, excellent fine granularity.</w:t>
            </w:r>
          </w:p>
        </w:tc>
      </w:tr>
      <w:tr>
        <w:tc>
          <w:tcPr>
            <w:tcW w:type="dxa" w:w="1649"/>
            <w:tcMar>
              <w:top w:w="60" w:type="dxa"/>
              <w:bottom w:w="60" w:type="dxa"/>
              <w:left w:w="80" w:type="dxa"/>
              <w:right w:w="80" w:type="dxa"/>
            </w:tcMar>
          </w:tcPr>
          <w:p>
            <w:r>
              <w:rPr>
                <w:rFonts w:ascii="Times New Roman" w:hAnsi="Times New Roman"/>
                <w:b/>
                <w:sz w:val="16"/>
              </w:rPr>
              <w:t>Proposed Hybrid Framework [58]</w:t>
            </w:r>
          </w:p>
        </w:tc>
        <w:tc>
          <w:tcPr>
            <w:tcW w:type="dxa" w:w="1649"/>
            <w:tcMar>
              <w:top w:w="60" w:type="dxa"/>
              <w:bottom w:w="60" w:type="dxa"/>
              <w:left w:w="80" w:type="dxa"/>
              <w:right w:w="80" w:type="dxa"/>
            </w:tcMar>
          </w:tcPr>
          <w:p>
            <w:r>
              <w:rPr>
                <w:rFonts w:ascii="Times New Roman" w:hAnsi="Times New Roman"/>
                <w:b/>
                <w:sz w:val="16"/>
              </w:rPr>
              <w:t>Two-Stage Hybrid (YOLO11 + EfficientNet-B0)</w:t>
            </w:r>
          </w:p>
        </w:tc>
        <w:tc>
          <w:tcPr>
            <w:tcW w:type="dxa" w:w="1649"/>
            <w:tcMar>
              <w:top w:w="60" w:type="dxa"/>
              <w:bottom w:w="60" w:type="dxa"/>
              <w:left w:w="80" w:type="dxa"/>
              <w:right w:w="80" w:type="dxa"/>
            </w:tcMar>
          </w:tcPr>
          <w:p>
            <w:r>
              <w:rPr>
                <w:rFonts w:ascii="Times New Roman" w:hAnsi="Times New Roman"/>
                <w:b/>
                <w:sz w:val="16"/>
              </w:rPr>
              <w:t>9 classes (Healthy + 8 Fine SCA Defects)</w:t>
            </w:r>
          </w:p>
        </w:tc>
        <w:tc>
          <w:tcPr>
            <w:tcW w:type="dxa" w:w="1649"/>
            <w:tcMar>
              <w:top w:w="60" w:type="dxa"/>
              <w:bottom w:w="60" w:type="dxa"/>
              <w:left w:w="80" w:type="dxa"/>
              <w:right w:w="80" w:type="dxa"/>
            </w:tcMar>
          </w:tcPr>
          <w:p>
            <w:r>
              <w:rPr>
                <w:rFonts w:ascii="Times New Roman" w:hAnsi="Times New Roman"/>
                <w:b/>
                <w:sz w:val="16"/>
              </w:rPr>
              <w:t>15,800 instances</w:t>
            </w:r>
          </w:p>
        </w:tc>
        <w:tc>
          <w:tcPr>
            <w:tcW w:type="dxa" w:w="1649"/>
            <w:tcMar>
              <w:top w:w="60" w:type="dxa"/>
              <w:bottom w:w="60" w:type="dxa"/>
              <w:left w:w="80" w:type="dxa"/>
              <w:right w:w="80" w:type="dxa"/>
            </w:tcMar>
          </w:tcPr>
          <w:p>
            <w:r>
              <w:rPr>
                <w:rFonts w:ascii="Times New Roman" w:hAnsi="Times New Roman"/>
                <w:b/>
                <w:sz w:val="16"/>
              </w:rPr>
              <w:t>mAP@0.5: 96.8% (Acc: 97.4%)</w:t>
            </w:r>
          </w:p>
        </w:tc>
        <w:tc>
          <w:tcPr>
            <w:tcW w:type="dxa" w:w="1649"/>
            <w:tcMar>
              <w:top w:w="60" w:type="dxa"/>
              <w:bottom w:w="60" w:type="dxa"/>
              <w:left w:w="80" w:type="dxa"/>
              <w:right w:w="80" w:type="dxa"/>
            </w:tcMar>
          </w:tcPr>
          <w:p>
            <w:r>
              <w:rPr>
                <w:rFonts w:ascii="Times New Roman" w:hAnsi="Times New Roman"/>
                <w:b/>
                <w:sz w:val="16"/>
              </w:rPr>
              <w:t>48 FPS; Decoupled localization &amp; classification; optimal industrial trade-off.</w:t>
            </w:r>
          </w:p>
        </w:tc>
      </w:tr>
    </w:tbl>
    <w:p>
      <w:pPr>
        <w:spacing w:after="160"/>
        <w:jc w:val="center"/>
      </w:pPr>
      <w:r>
        <w:rPr>
          <w:rFonts w:ascii="Times New Roman" w:hAnsi="Times New Roman"/>
          <w:b/>
          <w:sz w:val="17"/>
        </w:rPr>
        <w:t>TABLE III: COMPARATIVE ANALYSIS OF REPRESENTATIVE COFFEE BEAN DEFECT DETECTION STUDIES</w:t>
      </w:r>
    </w:p>
    <w:p>
      <w:pPr>
        <w:keepNext/>
        <w:spacing w:before="160" w:after="40"/>
      </w:pPr>
      <w:r>
        <w:rPr>
          <w:rFonts w:ascii="Times New Roman" w:hAnsi="Times New Roman"/>
          <w:b/>
          <w:i/>
          <w:sz w:val="20"/>
        </w:rPr>
        <w:t>B. Performance and Resource Requirements</w:t>
      </w:r>
    </w:p>
    <w:p>
      <w:pPr>
        <w:spacing w:after="80" w:line="276" w:lineRule="auto"/>
        <w:jc w:val="both"/>
      </w:pPr>
      <w:r>
        <w:rPr>
          <w:rFonts w:ascii="Times New Roman" w:hAnsi="Times New Roman"/>
          <w:sz w:val="19"/>
        </w:rPr>
        <w:t>Computational complexity and inference latency are critical determinants of feasibility for sorting machinery. Industrial optical sorters require sorting speeds of 30 to 60 frames per second to keep pace with conveyor belts carrying 50 to 200 beans per second. Fig. 3 plots defect classification mAP against real-time frame rates across paradigms. Single-stage YOLO architectures easily cross the 60 FPS threshold, yet sacrifice 4-8% mAP on fine biological defects. Conversely, two-stage hybrid pipelines (such as YOLO11 coupled with EfficientNet-B0) reside in the optimal upper-right performance zone, achieving 96.8% mAP while comfortably delivering 48 FPS on edge hardware (e.g., NVIDIA Jetson Orin Nano).</w:t>
      </w:r>
    </w:p>
    <w:p>
      <w:pPr>
        <w:spacing w:before="160" w:after="60"/>
        <w:jc w:val="center"/>
      </w:pPr>
      <w:r>
        <w:drawing>
          <wp:inline xmlns:a="http://schemas.openxmlformats.org/drawingml/2006/main" xmlns:pic="http://schemas.openxmlformats.org/drawingml/2006/picture">
            <wp:extent cx="5852160" cy="3576320"/>
            <wp:docPr id="3" name="Picture 3"/>
            <wp:cNvGraphicFramePr>
              <a:graphicFrameLocks noChangeAspect="1"/>
            </wp:cNvGraphicFramePr>
            <a:graphic>
              <a:graphicData uri="http://schemas.openxmlformats.org/drawingml/2006/picture">
                <pic:pic>
                  <pic:nvPicPr>
                    <pic:cNvPr id="0" name="fig3_synthesis_roadmap.png"/>
                    <pic:cNvPicPr/>
                  </pic:nvPicPr>
                  <pic:blipFill>
                    <a:blip r:embed="rId12"/>
                    <a:stretch>
                      <a:fillRect/>
                    </a:stretch>
                  </pic:blipFill>
                  <pic:spPr>
                    <a:xfrm>
                      <a:off x="0" y="0"/>
                      <a:ext cx="5852160" cy="3576320"/>
                    </a:xfrm>
                    <a:prstGeom prst="rect"/>
                  </pic:spPr>
                </pic:pic>
              </a:graphicData>
            </a:graphic>
          </wp:inline>
        </w:drawing>
      </w:r>
    </w:p>
    <w:p>
      <w:pPr>
        <w:spacing w:after="160"/>
        <w:jc w:val="center"/>
      </w:pPr>
      <w:r>
        <w:rPr>
          <w:rFonts w:ascii="Times New Roman" w:hAnsi="Times New Roman"/>
          <w:b/>
          <w:i/>
          <w:sz w:val="17"/>
        </w:rPr>
        <w:t>Fig. 3. Comparative synthesis mapping detection accuracy (mAP %) against real-time processing throughput (FPS) across computer vision paradigms.</w:t>
      </w:r>
    </w:p>
    <w:p>
      <w:pPr>
        <w:keepNext/>
        <w:spacing w:before="160" w:after="40"/>
      </w:pPr>
      <w:r>
        <w:rPr>
          <w:rFonts w:ascii="Times New Roman" w:hAnsi="Times New Roman"/>
          <w:b/>
          <w:i/>
          <w:sz w:val="20"/>
        </w:rPr>
        <w:t>C. Robustness, Generalization, and Reproducibility</w:t>
      </w:r>
    </w:p>
    <w:p>
      <w:pPr>
        <w:spacing w:after="80" w:line="276" w:lineRule="auto"/>
        <w:jc w:val="both"/>
      </w:pPr>
      <w:r>
        <w:rPr>
          <w:rFonts w:ascii="Times New Roman" w:hAnsi="Times New Roman"/>
          <w:sz w:val="19"/>
        </w:rPr>
        <w:t>A critical finding of this synthesis is the severe 'domain generalization drop' observed when models are evaluated outside their training environment. Models trained under diffuse ring lights in laboratory darkrooms suffer a 15–28% decline in F1-score when tested under natural ambient factory lighting or on vibrating steel conveyor belts with motion blur. Furthermore, fewer than 18% of published studies release their underlying datasets or model weights, creating substantial reproducibility barriers in agri-food AI benchmarking.</w:t>
      </w:r>
    </w:p>
    <w:p>
      <w:pPr>
        <w:keepNext/>
        <w:spacing w:before="160" w:after="40"/>
      </w:pPr>
      <w:r>
        <w:rPr>
          <w:rFonts w:ascii="Times New Roman" w:hAnsi="Times New Roman"/>
          <w:b/>
          <w:i/>
          <w:sz w:val="20"/>
        </w:rPr>
        <w:t>D. Answers to the Research Questions</w:t>
      </w:r>
    </w:p>
    <w:p>
      <w:pPr>
        <w:spacing w:after="80" w:line="276" w:lineRule="auto"/>
        <w:jc w:val="both"/>
      </w:pPr>
      <w:r>
        <w:rPr>
          <w:rFonts w:ascii="Times New Roman" w:hAnsi="Times New Roman"/>
          <w:b/>
          <w:sz w:val="19"/>
        </w:rPr>
        <w:t xml:space="preserve">• Answer to RQ1 (Paradigms): </w:t>
      </w:r>
      <w:r>
        <w:rPr>
          <w:rFonts w:ascii="Times New Roman" w:hAnsi="Times New Roman"/>
          <w:sz w:val="19"/>
        </w:rPr>
        <w:t>Synthesis of the literature demonstrates that while classical ML established early foundations, modern deep convolutional networks and hybrid frameworks provide superior feature abstraction, robustly handling occlusion and varying bean orientations.</w:t>
      </w:r>
    </w:p>
    <w:p>
      <w:pPr>
        <w:spacing w:after="80" w:line="276" w:lineRule="auto"/>
        <w:jc w:val="both"/>
      </w:pPr>
      <w:r>
        <w:rPr>
          <w:rFonts w:ascii="Times New Roman" w:hAnsi="Times New Roman"/>
          <w:b/>
          <w:sz w:val="19"/>
        </w:rPr>
        <w:t xml:space="preserve">• Answer to RQ2 (Hybrid vs. Single-Stage): </w:t>
      </w:r>
      <w:r>
        <w:rPr>
          <w:rFonts w:ascii="Times New Roman" w:hAnsi="Times New Roman"/>
          <w:sz w:val="19"/>
        </w:rPr>
        <w:t>Two-stage hybrid frameworks consistently outperform single-stage detectors on fine-grained defects (yielding a +5.2% to +8.6% mAP gain on sour, immature, and mold classes), because decoupling candidate proposal from classification allows dedicated high-resolution feature maps for subtle endosperm lesions.</w:t>
      </w:r>
    </w:p>
    <w:p>
      <w:pPr>
        <w:spacing w:after="80" w:line="276" w:lineRule="auto"/>
        <w:jc w:val="both"/>
      </w:pPr>
      <w:r>
        <w:rPr>
          <w:rFonts w:ascii="Times New Roman" w:hAnsi="Times New Roman"/>
          <w:b/>
          <w:sz w:val="19"/>
        </w:rPr>
        <w:t xml:space="preserve">• Answer to RQ3 (Data Quality): </w:t>
      </w:r>
      <w:r>
        <w:rPr>
          <w:rFonts w:ascii="Times New Roman" w:hAnsi="Times New Roman"/>
          <w:sz w:val="19"/>
        </w:rPr>
        <w:t>Existing benchmarks are severely constrained by artificial class balance, lack of standard SCA defect definitions, and over-representation of isolated beans, necessitating unified open-access industrial datasets.</w:t>
      </w:r>
    </w:p>
    <w:p>
      <w:pPr>
        <w:spacing w:after="80" w:line="276" w:lineRule="auto"/>
        <w:jc w:val="both"/>
      </w:pPr>
      <w:r>
        <w:rPr>
          <w:rFonts w:ascii="Times New Roman" w:hAnsi="Times New Roman"/>
          <w:b/>
          <w:sz w:val="19"/>
        </w:rPr>
        <w:t xml:space="preserve">• Answer to RQ4 (Hardware &amp; Inference): </w:t>
      </w:r>
      <w:r>
        <w:rPr>
          <w:rFonts w:ascii="Times New Roman" w:hAnsi="Times New Roman"/>
          <w:sz w:val="19"/>
        </w:rPr>
        <w:t>Embedded edge GPUs (e.g., Jetson Orin / Xavier) combined with TensorRT FP16 quantization provide the necessary compute density to run two-stage hybrid pipelines at 45–60 FPS with power consumption under 25 Watts.</w:t>
      </w:r>
    </w:p>
    <w:p>
      <w:pPr>
        <w:keepNext/>
        <w:spacing w:before="280" w:after="80"/>
      </w:pPr>
      <w:r>
        <w:rPr>
          <w:rFonts w:ascii="Times New Roman" w:hAnsi="Times New Roman"/>
          <w:b/>
          <w:color w:val="003366"/>
          <w:sz w:val="22"/>
        </w:rPr>
        <w:t>VI. OPEN CHALLENGES AND RESEARCH GAPS</w:t>
      </w:r>
    </w:p>
    <w:p>
      <w:pPr>
        <w:keepNext/>
        <w:spacing w:before="160" w:after="40"/>
      </w:pPr>
      <w:r>
        <w:rPr>
          <w:rFonts w:ascii="Times New Roman" w:hAnsi="Times New Roman"/>
          <w:b/>
          <w:i/>
          <w:sz w:val="20"/>
        </w:rPr>
        <w:t>A. Data and Benchmark Limitations</w:t>
      </w:r>
    </w:p>
    <w:p>
      <w:pPr>
        <w:spacing w:after="80" w:line="276" w:lineRule="auto"/>
        <w:jc w:val="both"/>
      </w:pPr>
      <w:r>
        <w:rPr>
          <w:rFonts w:ascii="Times New Roman" w:hAnsi="Times New Roman"/>
          <w:sz w:val="19"/>
        </w:rPr>
        <w:t>The most prominent bottleneck identified is extreme class imbalance. In natural harvest yields, healthy beans constitute 85–95% of a lot, broken beans account for 3–7%, while high-severity defects (such as Full Black or Severe Insect Borer) represent less than 1–2%. Existing academic datasets frequently balance classes artificially (e.g., exactly 200 images per class), leading to inflated laboratory accuracy that collapses when deployed on real-world distributions.</w:t>
      </w:r>
    </w:p>
    <w:p>
      <w:pPr>
        <w:keepNext/>
        <w:spacing w:before="160" w:after="40"/>
      </w:pPr>
      <w:r>
        <w:rPr>
          <w:rFonts w:ascii="Times New Roman" w:hAnsi="Times New Roman"/>
          <w:b/>
          <w:i/>
          <w:sz w:val="20"/>
        </w:rPr>
        <w:t>B. Methodological Limitations: Occlusion and Crowding</w:t>
      </w:r>
    </w:p>
    <w:p>
      <w:pPr>
        <w:spacing w:after="80" w:line="276" w:lineRule="auto"/>
        <w:jc w:val="both"/>
      </w:pPr>
      <w:r>
        <w:rPr>
          <w:rFonts w:ascii="Times New Roman" w:hAnsi="Times New Roman"/>
          <w:sz w:val="19"/>
        </w:rPr>
        <w:t>In industrial bulk sorting, beans do not move in single-file isolation; they form dense, overlapping monolayer beds on gravity chutes or high-speed conveyor belts. Current Non-Maximum Suppression (NMS) algorithms frequently suppress valid neighboring beans or fail to separate touching contours, leading to duplicate counts or missed edge defects.</w:t>
      </w:r>
    </w:p>
    <w:p>
      <w:pPr>
        <w:keepNext/>
        <w:spacing w:before="160" w:after="40"/>
      </w:pPr>
      <w:r>
        <w:rPr>
          <w:rFonts w:ascii="Times New Roman" w:hAnsi="Times New Roman"/>
          <w:b/>
          <w:i/>
          <w:sz w:val="20"/>
        </w:rPr>
        <w:t>C. Evaluation and Reproducibility Gaps</w:t>
      </w:r>
    </w:p>
    <w:p>
      <w:pPr>
        <w:spacing w:after="80" w:line="276" w:lineRule="auto"/>
        <w:jc w:val="both"/>
      </w:pPr>
      <w:r>
        <w:rPr>
          <w:rFonts w:ascii="Times New Roman" w:hAnsi="Times New Roman"/>
          <w:sz w:val="19"/>
        </w:rPr>
        <w:t>Many published papers report overall accuracy across aggregated test sets without detailing per-class confusion matrices or precision-recall curves for rare defect categories. Furthermore, discrepancies in ground truth annotation between certified Q-graders and general annotators are rarely modeled probabilistically.</w:t>
      </w:r>
    </w:p>
    <w:p>
      <w:pPr>
        <w:keepNext/>
        <w:spacing w:before="160" w:after="40"/>
      </w:pPr>
      <w:r>
        <w:rPr>
          <w:rFonts w:ascii="Times New Roman" w:hAnsi="Times New Roman"/>
          <w:b/>
          <w:i/>
          <w:sz w:val="20"/>
        </w:rPr>
        <w:t>D. Practical Deployment Challenges: Illumination and Dust</w:t>
      </w:r>
    </w:p>
    <w:p>
      <w:pPr>
        <w:spacing w:after="80" w:line="276" w:lineRule="auto"/>
        <w:jc w:val="both"/>
      </w:pPr>
      <w:r>
        <w:rPr>
          <w:rFonts w:ascii="Times New Roman" w:hAnsi="Times New Roman"/>
          <w:sz w:val="19"/>
        </w:rPr>
        <w:t>Industrial milling environments are plagued by airborne coffee chaff dust, vibrating chutes, and changing ambient daylight. Optical lenses accumulate fine dust films over time, causing progressive contrast loss and false defect alerts. Active lens cleaning and illumination-invariant visual normalization remain unaddressed in the vast majority of academic literature.</w:t>
      </w:r>
    </w:p>
    <w:p>
      <w:pPr>
        <w:keepNext/>
        <w:spacing w:before="280" w:after="80"/>
      </w:pPr>
      <w:r>
        <w:rPr>
          <w:rFonts w:ascii="Times New Roman" w:hAnsi="Times New Roman"/>
          <w:b/>
          <w:color w:val="003366"/>
          <w:sz w:val="22"/>
        </w:rPr>
        <w:t>VII. FUTURE RESEARCH DIRECTIONS</w:t>
      </w:r>
    </w:p>
    <w:p>
      <w:pPr>
        <w:keepNext/>
        <w:spacing w:before="160" w:after="40"/>
      </w:pPr>
      <w:r>
        <w:rPr>
          <w:rFonts w:ascii="Times New Roman" w:hAnsi="Times New Roman"/>
          <w:b/>
          <w:i/>
          <w:sz w:val="20"/>
        </w:rPr>
        <w:t>A. Prioritized Research Opportunities</w:t>
      </w:r>
    </w:p>
    <w:p>
      <w:pPr>
        <w:spacing w:after="80" w:line="276" w:lineRule="auto"/>
        <w:jc w:val="both"/>
      </w:pPr>
      <w:r>
        <w:rPr>
          <w:rFonts w:ascii="Times New Roman" w:hAnsi="Times New Roman"/>
          <w:sz w:val="19"/>
        </w:rPr>
        <w:t>1) Self-Supervised and Foundation Model Pre-Training: Pre-training vision backbones (e.g., DINOv2, Masked Autoencoders) on large unlabelled repositories of agricultural seed imagery to learn robust invariant representations before fine-tuning on scarce annotated defect samples.</w:t>
      </w:r>
    </w:p>
    <w:p>
      <w:pPr>
        <w:spacing w:after="80" w:line="276" w:lineRule="auto"/>
        <w:jc w:val="both"/>
      </w:pPr>
      <w:r>
        <w:rPr>
          <w:rFonts w:ascii="Times New Roman" w:hAnsi="Times New Roman"/>
          <w:sz w:val="19"/>
        </w:rPr>
        <w:t>2) Multimodal Visual-Spectral Fusion: Integrating low-cost multi-spectral LEDs (e.g., 460nm, 520nm, 660nm, and 850nm NIR) into RGB camera rigs, combining high spatial resolution with chemical absorption signatures to detect internal fermentation without requiring expensive hyperspectral cameras.</w:t>
      </w:r>
    </w:p>
    <w:p>
      <w:pPr>
        <w:spacing w:after="80" w:line="276" w:lineRule="auto"/>
        <w:jc w:val="both"/>
      </w:pPr>
      <w:r>
        <w:rPr>
          <w:rFonts w:ascii="Times New Roman" w:hAnsi="Times New Roman"/>
          <w:sz w:val="19"/>
        </w:rPr>
        <w:t>3) Edge Neuromorphic and Event-Based Sensing: Exploring event-based cameras that capture microsecond brightness changes, eliminating motion blur on high-speed pneumatic sorting chutes moving at &gt;3 meters/second.</w:t>
      </w:r>
    </w:p>
    <w:p>
      <w:pPr>
        <w:keepNext/>
        <w:spacing w:before="160" w:after="40"/>
      </w:pPr>
      <w:r>
        <w:rPr>
          <w:rFonts w:ascii="Times New Roman" w:hAnsi="Times New Roman"/>
          <w:b/>
          <w:i/>
          <w:sz w:val="20"/>
        </w:rPr>
        <w:t>B. Research Roadmap</w:t>
      </w:r>
    </w:p>
    <w:p>
      <w:pPr>
        <w:spacing w:after="80" w:line="276" w:lineRule="auto"/>
        <w:jc w:val="both"/>
      </w:pPr>
      <w:r>
        <w:rPr>
          <w:rFonts w:ascii="Times New Roman" w:hAnsi="Times New Roman"/>
          <w:sz w:val="19"/>
        </w:rPr>
        <w:t>Table IV establishes a structured research roadmap connecting identified empirical gaps to proposed technological solutions and standardized validation criteria.</w:t>
      </w:r>
    </w:p>
    <w:tbl>
      <w:tblPr>
        <w:tblW w:type="auto" w:w="0"/>
        <w:jc w:val="center"/>
        <w:tblLook w:firstColumn="1" w:firstRow="1" w:lastColumn="0" w:lastRow="0" w:noHBand="0" w:noVBand="1" w:val="04A0"/>
      </w:tblPr>
      <w:tblGrid>
        <w:gridCol w:w="2473"/>
        <w:gridCol w:w="2473"/>
        <w:gridCol w:w="2473"/>
        <w:gridCol w:w="2473"/>
      </w:tblGrid>
      <w:tr>
        <w:tc>
          <w:tcPr>
            <w:tcW w:type="dxa" w:w="2473"/>
            <w:tcMar>
              <w:top w:w="80" w:type="dxa"/>
              <w:bottom w:w="80" w:type="dxa"/>
              <w:left w:w="100" w:type="dxa"/>
              <w:right w:w="100" w:type="dxa"/>
            </w:tcMar>
            <w:shd w:fill="003366"/>
          </w:tcPr>
          <w:p>
            <w:r>
              <w:rPr>
                <w:rFonts w:ascii="Times New Roman" w:hAnsi="Times New Roman"/>
                <w:b/>
                <w:color w:val="FFFFFF"/>
                <w:sz w:val="17"/>
              </w:rPr>
              <w:t>Identified Research Gap</w:t>
            </w:r>
          </w:p>
        </w:tc>
        <w:tc>
          <w:tcPr>
            <w:tcW w:type="dxa" w:w="2473"/>
            <w:tcMar>
              <w:top w:w="80" w:type="dxa"/>
              <w:bottom w:w="80" w:type="dxa"/>
              <w:left w:w="100" w:type="dxa"/>
              <w:right w:w="100" w:type="dxa"/>
            </w:tcMar>
            <w:shd w:fill="003366"/>
          </w:tcPr>
          <w:p>
            <w:r>
              <w:rPr>
                <w:rFonts w:ascii="Times New Roman" w:hAnsi="Times New Roman"/>
                <w:b/>
                <w:color w:val="FFFFFF"/>
                <w:sz w:val="17"/>
              </w:rPr>
              <w:t>Root Cause in Literature</w:t>
            </w:r>
          </w:p>
        </w:tc>
        <w:tc>
          <w:tcPr>
            <w:tcW w:type="dxa" w:w="2473"/>
            <w:tcMar>
              <w:top w:w="80" w:type="dxa"/>
              <w:bottom w:w="80" w:type="dxa"/>
              <w:left w:w="100" w:type="dxa"/>
              <w:right w:w="100" w:type="dxa"/>
            </w:tcMar>
            <w:shd w:fill="003366"/>
          </w:tcPr>
          <w:p>
            <w:r>
              <w:rPr>
                <w:rFonts w:ascii="Times New Roman" w:hAnsi="Times New Roman"/>
                <w:b/>
                <w:color w:val="FFFFFF"/>
                <w:sz w:val="17"/>
              </w:rPr>
              <w:t>Proposed Technical Approach</w:t>
            </w:r>
          </w:p>
        </w:tc>
        <w:tc>
          <w:tcPr>
            <w:tcW w:type="dxa" w:w="2473"/>
            <w:tcMar>
              <w:top w:w="80" w:type="dxa"/>
              <w:bottom w:w="80" w:type="dxa"/>
              <w:left w:w="100" w:type="dxa"/>
              <w:right w:w="100" w:type="dxa"/>
            </w:tcMar>
            <w:shd w:fill="003366"/>
          </w:tcPr>
          <w:p>
            <w:r>
              <w:rPr>
                <w:rFonts w:ascii="Times New Roman" w:hAnsi="Times New Roman"/>
                <w:b/>
                <w:color w:val="FFFFFF"/>
                <w:sz w:val="17"/>
              </w:rPr>
              <w:t>Target Validation &amp; Metrics</w:t>
            </w:r>
          </w:p>
        </w:tc>
      </w:tr>
      <w:tr>
        <w:tc>
          <w:tcPr>
            <w:tcW w:type="dxa" w:w="2473"/>
            <w:tcMar>
              <w:top w:w="60" w:type="dxa"/>
              <w:bottom w:w="60" w:type="dxa"/>
              <w:left w:w="80" w:type="dxa"/>
              <w:right w:w="80" w:type="dxa"/>
            </w:tcMar>
          </w:tcPr>
          <w:p>
            <w:r>
              <w:rPr>
                <w:rFonts w:ascii="Times New Roman" w:hAnsi="Times New Roman"/>
                <w:sz w:val="16"/>
              </w:rPr>
              <w:t>Extreme Class Imbalance</w:t>
            </w:r>
          </w:p>
        </w:tc>
        <w:tc>
          <w:tcPr>
            <w:tcW w:type="dxa" w:w="2473"/>
            <w:tcMar>
              <w:top w:w="60" w:type="dxa"/>
              <w:bottom w:w="60" w:type="dxa"/>
              <w:left w:w="80" w:type="dxa"/>
              <w:right w:w="80" w:type="dxa"/>
            </w:tcMar>
          </w:tcPr>
          <w:p>
            <w:r>
              <w:rPr>
                <w:rFonts w:ascii="Times New Roman" w:hAnsi="Times New Roman"/>
                <w:sz w:val="16"/>
              </w:rPr>
              <w:t>Natural rarity of severe primary defects (Full Black, Stinkers).</w:t>
            </w:r>
          </w:p>
        </w:tc>
        <w:tc>
          <w:tcPr>
            <w:tcW w:type="dxa" w:w="2473"/>
            <w:tcMar>
              <w:top w:w="60" w:type="dxa"/>
              <w:bottom w:w="60" w:type="dxa"/>
              <w:left w:w="80" w:type="dxa"/>
              <w:right w:w="80" w:type="dxa"/>
            </w:tcMar>
          </w:tcPr>
          <w:p>
            <w:r>
              <w:rPr>
                <w:rFonts w:ascii="Times New Roman" w:hAnsi="Times New Roman"/>
                <w:sz w:val="16"/>
              </w:rPr>
              <w:t>Focal / PolyLoss functions + Diffusion-based synthetic defect generation.</w:t>
            </w:r>
          </w:p>
        </w:tc>
        <w:tc>
          <w:tcPr>
            <w:tcW w:type="dxa" w:w="2473"/>
            <w:tcMar>
              <w:top w:w="60" w:type="dxa"/>
              <w:bottom w:w="60" w:type="dxa"/>
              <w:left w:w="80" w:type="dxa"/>
              <w:right w:w="80" w:type="dxa"/>
            </w:tcMar>
          </w:tcPr>
          <w:p>
            <w:r>
              <w:rPr>
                <w:rFonts w:ascii="Times New Roman" w:hAnsi="Times New Roman"/>
                <w:sz w:val="16"/>
              </w:rPr>
              <w:t>Per-class Macro F1 &gt; 92% on rare classes under natural 95:5 class ratios.</w:t>
            </w:r>
          </w:p>
        </w:tc>
      </w:tr>
      <w:tr>
        <w:tc>
          <w:tcPr>
            <w:tcW w:type="dxa" w:w="2473"/>
            <w:tcMar>
              <w:top w:w="60" w:type="dxa"/>
              <w:bottom w:w="60" w:type="dxa"/>
              <w:left w:w="80" w:type="dxa"/>
              <w:right w:w="80" w:type="dxa"/>
            </w:tcMar>
            <w:shd w:fill="F2F4F4"/>
          </w:tcPr>
          <w:p>
            <w:r>
              <w:rPr>
                <w:rFonts w:ascii="Times New Roman" w:hAnsi="Times New Roman"/>
                <w:sz w:val="16"/>
              </w:rPr>
              <w:t>Dense Multi-Bean Occlusion</w:t>
            </w:r>
          </w:p>
        </w:tc>
        <w:tc>
          <w:tcPr>
            <w:tcW w:type="dxa" w:w="2473"/>
            <w:tcMar>
              <w:top w:w="60" w:type="dxa"/>
              <w:bottom w:w="60" w:type="dxa"/>
              <w:left w:w="80" w:type="dxa"/>
              <w:right w:w="80" w:type="dxa"/>
            </w:tcMar>
            <w:shd w:fill="F2F4F4"/>
          </w:tcPr>
          <w:p>
            <w:r>
              <w:rPr>
                <w:rFonts w:ascii="Times New Roman" w:hAnsi="Times New Roman"/>
                <w:sz w:val="16"/>
              </w:rPr>
              <w:t>Greedy NMS suppressing touching beans on crowded conveyors.</w:t>
            </w:r>
          </w:p>
        </w:tc>
        <w:tc>
          <w:tcPr>
            <w:tcW w:type="dxa" w:w="2473"/>
            <w:tcMar>
              <w:top w:w="60" w:type="dxa"/>
              <w:bottom w:w="60" w:type="dxa"/>
              <w:left w:w="80" w:type="dxa"/>
              <w:right w:w="80" w:type="dxa"/>
            </w:tcMar>
            <w:shd w:fill="F2F4F4"/>
          </w:tcPr>
          <w:p>
            <w:r>
              <w:rPr>
                <w:rFonts w:ascii="Times New Roman" w:hAnsi="Times New Roman"/>
                <w:sz w:val="16"/>
              </w:rPr>
              <w:t>Soft-NMS, Repulsion Loss, and Oriented Bounding Boxes (OBB).</w:t>
            </w:r>
          </w:p>
        </w:tc>
        <w:tc>
          <w:tcPr>
            <w:tcW w:type="dxa" w:w="2473"/>
            <w:tcMar>
              <w:top w:w="60" w:type="dxa"/>
              <w:bottom w:w="60" w:type="dxa"/>
              <w:left w:w="80" w:type="dxa"/>
              <w:right w:w="80" w:type="dxa"/>
            </w:tcMar>
            <w:shd w:fill="F2F4F4"/>
          </w:tcPr>
          <w:p>
            <w:r>
              <w:rPr>
                <w:rFonts w:ascii="Times New Roman" w:hAnsi="Times New Roman"/>
                <w:sz w:val="16"/>
              </w:rPr>
              <w:t>IoU recall &gt; 95% on touching beans with overlap area &gt; 20%.</w:t>
            </w:r>
          </w:p>
        </w:tc>
      </w:tr>
      <w:tr>
        <w:tc>
          <w:tcPr>
            <w:tcW w:type="dxa" w:w="2473"/>
            <w:tcMar>
              <w:top w:w="60" w:type="dxa"/>
              <w:bottom w:w="60" w:type="dxa"/>
              <w:left w:w="80" w:type="dxa"/>
              <w:right w:w="80" w:type="dxa"/>
            </w:tcMar>
          </w:tcPr>
          <w:p>
            <w:r>
              <w:rPr>
                <w:rFonts w:ascii="Times New Roman" w:hAnsi="Times New Roman"/>
                <w:sz w:val="16"/>
              </w:rPr>
              <w:t>Environmental Domain Shift</w:t>
            </w:r>
          </w:p>
        </w:tc>
        <w:tc>
          <w:tcPr>
            <w:tcW w:type="dxa" w:w="2473"/>
            <w:tcMar>
              <w:top w:w="60" w:type="dxa"/>
              <w:bottom w:w="60" w:type="dxa"/>
              <w:left w:w="80" w:type="dxa"/>
              <w:right w:w="80" w:type="dxa"/>
            </w:tcMar>
          </w:tcPr>
          <w:p>
            <w:r>
              <w:rPr>
                <w:rFonts w:ascii="Times New Roman" w:hAnsi="Times New Roman"/>
                <w:sz w:val="16"/>
              </w:rPr>
              <w:t>Lighting drift and lens dust contamination in processing mills.</w:t>
            </w:r>
          </w:p>
        </w:tc>
        <w:tc>
          <w:tcPr>
            <w:tcW w:type="dxa" w:w="2473"/>
            <w:tcMar>
              <w:top w:w="60" w:type="dxa"/>
              <w:bottom w:w="60" w:type="dxa"/>
              <w:left w:w="80" w:type="dxa"/>
              <w:right w:w="80" w:type="dxa"/>
            </w:tcMar>
          </w:tcPr>
          <w:p>
            <w:r>
              <w:rPr>
                <w:rFonts w:ascii="Times New Roman" w:hAnsi="Times New Roman"/>
                <w:sz w:val="16"/>
              </w:rPr>
              <w:t>Domain adversarial training and self-supervised test-time adaptation.</w:t>
            </w:r>
          </w:p>
        </w:tc>
        <w:tc>
          <w:tcPr>
            <w:tcW w:type="dxa" w:w="2473"/>
            <w:tcMar>
              <w:top w:w="60" w:type="dxa"/>
              <w:bottom w:w="60" w:type="dxa"/>
              <w:left w:w="80" w:type="dxa"/>
              <w:right w:w="80" w:type="dxa"/>
            </w:tcMar>
          </w:tcPr>
          <w:p>
            <w:r>
              <w:rPr>
                <w:rFonts w:ascii="Times New Roman" w:hAnsi="Times New Roman"/>
                <w:sz w:val="16"/>
              </w:rPr>
              <w:t>&lt; 3% accuracy drop across varying lux illumination (200 - 1500 lux).</w:t>
            </w:r>
          </w:p>
        </w:tc>
      </w:tr>
      <w:tr>
        <w:tc>
          <w:tcPr>
            <w:tcW w:type="dxa" w:w="2473"/>
            <w:tcMar>
              <w:top w:w="60" w:type="dxa"/>
              <w:bottom w:w="60" w:type="dxa"/>
              <w:left w:w="80" w:type="dxa"/>
              <w:right w:w="80" w:type="dxa"/>
            </w:tcMar>
            <w:shd w:fill="F2F4F4"/>
          </w:tcPr>
          <w:p>
            <w:r>
              <w:rPr>
                <w:rFonts w:ascii="Times New Roman" w:hAnsi="Times New Roman"/>
                <w:sz w:val="16"/>
              </w:rPr>
              <w:t>Embedded Edge Latency</w:t>
            </w:r>
          </w:p>
        </w:tc>
        <w:tc>
          <w:tcPr>
            <w:tcW w:type="dxa" w:w="2473"/>
            <w:tcMar>
              <w:top w:w="60" w:type="dxa"/>
              <w:bottom w:w="60" w:type="dxa"/>
              <w:left w:w="80" w:type="dxa"/>
              <w:right w:w="80" w:type="dxa"/>
            </w:tcMar>
            <w:shd w:fill="F2F4F4"/>
          </w:tcPr>
          <w:p>
            <w:r>
              <w:rPr>
                <w:rFonts w:ascii="Times New Roman" w:hAnsi="Times New Roman"/>
                <w:sz w:val="16"/>
              </w:rPr>
              <w:t>High computational complexity of 2-stage vision models.</w:t>
            </w:r>
          </w:p>
        </w:tc>
        <w:tc>
          <w:tcPr>
            <w:tcW w:type="dxa" w:w="2473"/>
            <w:tcMar>
              <w:top w:w="60" w:type="dxa"/>
              <w:bottom w:w="60" w:type="dxa"/>
              <w:left w:w="80" w:type="dxa"/>
              <w:right w:w="80" w:type="dxa"/>
            </w:tcMar>
            <w:shd w:fill="F2F4F4"/>
          </w:tcPr>
          <w:p>
            <w:r>
              <w:rPr>
                <w:rFonts w:ascii="Times New Roman" w:hAnsi="Times New Roman"/>
                <w:sz w:val="16"/>
              </w:rPr>
              <w:t>INT8/FP16 TensorRT quantization and Neural Architecture Search (NAS).</w:t>
            </w:r>
          </w:p>
        </w:tc>
        <w:tc>
          <w:tcPr>
            <w:tcW w:type="dxa" w:w="2473"/>
            <w:tcMar>
              <w:top w:w="60" w:type="dxa"/>
              <w:bottom w:w="60" w:type="dxa"/>
              <w:left w:w="80" w:type="dxa"/>
              <w:right w:w="80" w:type="dxa"/>
            </w:tcMar>
            <w:shd w:fill="F2F4F4"/>
          </w:tcPr>
          <w:p>
            <w:r>
              <w:rPr>
                <w:rFonts w:ascii="Times New Roman" w:hAnsi="Times New Roman"/>
                <w:sz w:val="16"/>
              </w:rPr>
              <w:t>&gt; 60 FPS real-time conveyor throughput on sub-20W edge processors.</w:t>
            </w:r>
          </w:p>
        </w:tc>
      </w:tr>
    </w:tbl>
    <w:p>
      <w:pPr>
        <w:spacing w:after="160"/>
        <w:jc w:val="center"/>
      </w:pPr>
      <w:r>
        <w:rPr>
          <w:rFonts w:ascii="Times New Roman" w:hAnsi="Times New Roman"/>
          <w:b/>
          <w:sz w:val="17"/>
        </w:rPr>
        <w:t>TABLE IV: SYNTHESIS OF RESEARCH GAPS, PROPOSED METHODOLOGICAL SOLUTIONS, AND VALIDATION BENCHMARKS</w:t>
      </w:r>
    </w:p>
    <w:p>
      <w:pPr>
        <w:keepNext/>
        <w:spacing w:before="280" w:after="80"/>
      </w:pPr>
      <w:r>
        <w:rPr>
          <w:rFonts w:ascii="Times New Roman" w:hAnsi="Times New Roman"/>
          <w:b/>
          <w:color w:val="003366"/>
          <w:sz w:val="22"/>
        </w:rPr>
        <w:t>VIII. LIMITATIONS OF THE REVIEW</w:t>
      </w:r>
    </w:p>
    <w:p>
      <w:pPr>
        <w:spacing w:after="80" w:line="276" w:lineRule="auto"/>
        <w:jc w:val="both"/>
      </w:pPr>
      <w:r>
        <w:rPr>
          <w:rFonts w:ascii="Times New Roman" w:hAnsi="Times New Roman"/>
          <w:sz w:val="19"/>
        </w:rPr>
        <w:t>Several methodological boundaries must be acknowledged: (1) Language limitation: Only English-language peer-reviewed articles were included, potentially omitting regional agricultural engineering papers published in Portuguese (Brazil) or Spanish (Colombia/Central America). (2) Publication bias: Studies with positive or high-accuracy findings are more likely to be published, potentially under-reporting edge failures. (3) Metric heterogeneity: Differences in IoU thresholds (IoU=0.5 vs. IoU=0.5:0.95) and dataset splits across studies limit the precision of direct mathematical meta-analyses.</w:t>
      </w:r>
    </w:p>
    <w:p>
      <w:pPr>
        <w:keepNext/>
        <w:spacing w:before="280" w:after="80"/>
      </w:pPr>
      <w:r>
        <w:rPr>
          <w:rFonts w:ascii="Times New Roman" w:hAnsi="Times New Roman"/>
          <w:b/>
          <w:color w:val="003366"/>
          <w:sz w:val="22"/>
        </w:rPr>
        <w:t>IX. CONCLUSION</w:t>
      </w:r>
    </w:p>
    <w:p>
      <w:pPr>
        <w:spacing w:after="80" w:line="276" w:lineRule="auto"/>
        <w:jc w:val="both"/>
      </w:pPr>
      <w:r>
        <w:rPr>
          <w:rFonts w:ascii="Times New Roman" w:hAnsi="Times New Roman"/>
          <w:sz w:val="19"/>
        </w:rPr>
        <w:t>This comprehensive review has delivered a systematic, PRISMA-guided synthesis of computational methods for coffee bean defect detection and quality grading across 58 pivotal studies published between 2018 and 2025. By formalizing a four-pillar taxonomy—spanning classical vision, single-stage detectors, hierarchical two-stage hybrids, and non-destructive spectroscopy—we have mapped the trajectory of the field from manual feature engineering toward high-throughput deep intelligence. The synthesis demonstrates that hierarchical two-stage hybrid frameworks (specifically pairing ultra-fast detectors like YOLO11 with fine-grained classifiers like EfficientNet) establish the current gold standard, attaining over 96% mAP while fulfilling industrial 45-60 FPS real-time constraints. Resolving the remaining frontiers of extreme class imbalance, conveyor occlusion, and multi-spectral edge fusion will finalize the transition from manual sampling to fully autonomous, high-throughput coffee grading mills worldwide.</w:t>
      </w:r>
    </w:p>
    <w:p>
      <w:pPr>
        <w:keepNext/>
        <w:spacing w:before="280" w:after="80"/>
      </w:pPr>
      <w:r>
        <w:rPr>
          <w:rFonts w:ascii="Times New Roman" w:hAnsi="Times New Roman"/>
          <w:b/>
          <w:color w:val="003366"/>
          <w:sz w:val="22"/>
        </w:rPr>
        <w:t>ACKNOWLEDGMENT</w:t>
      </w:r>
    </w:p>
    <w:p>
      <w:pPr>
        <w:spacing w:after="80" w:line="276" w:lineRule="auto"/>
        <w:jc w:val="both"/>
      </w:pPr>
      <w:r>
        <w:rPr>
          <w:rFonts w:ascii="Times New Roman" w:hAnsi="Times New Roman"/>
          <w:sz w:val="19"/>
        </w:rPr>
        <w:t>The authors gratefully acknowledge the Specialty Coffee Association (SCA) for published grading references and international agricultural open-source vision repositories that made this systematic evaluation possible.</w:t>
      </w:r>
    </w:p>
    <w:p>
      <w:pPr>
        <w:keepNext/>
        <w:spacing w:before="280" w:after="80"/>
      </w:pPr>
      <w:r>
        <w:rPr>
          <w:rFonts w:ascii="Times New Roman" w:hAnsi="Times New Roman"/>
          <w:b/>
          <w:color w:val="003366"/>
          <w:sz w:val="22"/>
        </w:rPr>
        <w:t>REFERENCES</w:t>
      </w:r>
    </w:p>
    <w:p>
      <w:pPr>
        <w:spacing w:after="50"/>
        <w:ind w:left="360" w:hanging="360"/>
      </w:pPr>
      <w:r>
        <w:rPr>
          <w:rFonts w:ascii="Times New Roman" w:hAnsi="Times New Roman"/>
          <w:sz w:val="16"/>
        </w:rPr>
        <w:t>[1] L. S. Oliveira, A. S. Franca, and P. C. Oliveira, "Computer vision inspection of coffee beans: A review of classical methods and optical descriptors," Food Control, vol. 102, pp. 210-221, 2019.</w:t>
      </w:r>
    </w:p>
    <w:p>
      <w:pPr>
        <w:spacing w:after="50"/>
        <w:ind w:left="360" w:hanging="360"/>
      </w:pPr>
      <w:r>
        <w:rPr>
          <w:rFonts w:ascii="Times New Roman" w:hAnsi="Times New Roman"/>
          <w:sz w:val="16"/>
        </w:rPr>
        <w:t>[2] D. N. Faridah, A. R. Yuliani, and S. Nurjanah, "Non-destructive methods for coffee quality assessment: A survey of machine vision and spectroscopic techniques," J. Food Sci. Technol., vol. 58, no. 4, pp. 1205-1218, 2021.</w:t>
      </w:r>
    </w:p>
    <w:p>
      <w:pPr>
        <w:spacing w:after="50"/>
        <w:ind w:left="360" w:hanging="360"/>
      </w:pPr>
      <w:r>
        <w:rPr>
          <w:rFonts w:ascii="Times New Roman" w:hAnsi="Times New Roman"/>
          <w:sz w:val="16"/>
        </w:rPr>
        <w:t>[3] M. A. Santos, K. L. Silva, and R. C. Torres, "Deep learning applications in post-harvest agricultural sorting: A review of object detection and classification models," Comput. Electron. Agric., vol. 205, art. 107612, 2023.</w:t>
      </w:r>
    </w:p>
    <w:p>
      <w:pPr>
        <w:spacing w:after="50"/>
        <w:ind w:left="360" w:hanging="360"/>
      </w:pPr>
      <w:r>
        <w:rPr>
          <w:rFonts w:ascii="Times New Roman" w:hAnsi="Times New Roman"/>
          <w:sz w:val="16"/>
        </w:rPr>
        <w:t>[4] Specialty Coffee Association, "SCA Green Coffee Defect Guide: Physical Grading Standards," Specialty Coffee Assoc. Standards Committee, Santa Ana, CA, Tech. Rep. SCA-G-2020, 2020.</w:t>
      </w:r>
    </w:p>
    <w:p>
      <w:pPr>
        <w:spacing w:after="50"/>
        <w:ind w:left="360" w:hanging="360"/>
      </w:pPr>
      <w:r>
        <w:rPr>
          <w:rFonts w:ascii="Times New Roman" w:hAnsi="Times New Roman"/>
          <w:sz w:val="16"/>
        </w:rPr>
        <w:t>[5] International Organization for Standardization, "Green coffee — Defect reference chart," ISO Standard 10470:2004, Geneva, Switzerland, 2004.</w:t>
      </w:r>
    </w:p>
    <w:p>
      <w:pPr>
        <w:spacing w:after="50"/>
        <w:ind w:left="360" w:hanging="360"/>
      </w:pPr>
      <w:r>
        <w:rPr>
          <w:rFonts w:ascii="Times New Roman" w:hAnsi="Times New Roman"/>
          <w:sz w:val="16"/>
        </w:rPr>
        <w:t>[6] E. R. Arboleda, A. C. Fajardo, and R. P. Medina, "Classification of green coffee bean defects using Gray-Level Co-occurrence Matrix and Support Vector Machines," Int. J. Adv. Comput. Sci. Appl., vol. 10, no. 5, pp. 312-318, 2019.</w:t>
      </w:r>
    </w:p>
    <w:p>
      <w:pPr>
        <w:spacing w:after="50"/>
        <w:ind w:left="360" w:hanging="360"/>
      </w:pPr>
      <w:r>
        <w:rPr>
          <w:rFonts w:ascii="Times New Roman" w:hAnsi="Times New Roman"/>
          <w:sz w:val="16"/>
        </w:rPr>
        <w:t>[7] J. G. Martinez and M. F. Hernandez, "Colorimetric space evaluation for automated detection of black and sour coffee beans in wet-milling batches," J. Food Eng., vol. 268, art. 109734, 2020.</w:t>
      </w:r>
    </w:p>
    <w:p>
      <w:pPr>
        <w:spacing w:after="50"/>
        <w:ind w:left="360" w:hanging="360"/>
      </w:pPr>
      <w:r>
        <w:rPr>
          <w:rFonts w:ascii="Times New Roman" w:hAnsi="Times New Roman"/>
          <w:sz w:val="16"/>
        </w:rPr>
        <w:t>[8] R. P. Medina and E. R. Arboleda, "Machine vision system for Arabica coffee bean defect recognition using morphological Hu moments and Random Forest," in Proc. IEEE Int. Conf. Artif. Intell. Agric., 2020, pp. 145-150.</w:t>
      </w:r>
    </w:p>
    <w:p>
      <w:pPr>
        <w:spacing w:after="50"/>
        <w:ind w:left="360" w:hanging="360"/>
      </w:pPr>
      <w:r>
        <w:rPr>
          <w:rFonts w:ascii="Times New Roman" w:hAnsi="Times New Roman"/>
          <w:sz w:val="16"/>
        </w:rPr>
        <w:t>[9] T. D. Pham, Y. R. Park, and K. M. Chung, "Green coffee defect grading using single-bean multi-angle RGB imaging and convolutional neural networks," Sensors, vol. 20, no. 18, art. 5240, 2020.</w:t>
      </w:r>
    </w:p>
    <w:p>
      <w:pPr>
        <w:spacing w:after="50"/>
        <w:ind w:left="360" w:hanging="360"/>
      </w:pPr>
      <w:r>
        <w:rPr>
          <w:rFonts w:ascii="Times New Roman" w:hAnsi="Times New Roman"/>
          <w:sz w:val="16"/>
        </w:rPr>
        <w:t>[10] H. C. Wu and F. L. Zhang, "Fine-grained classification of roasted coffee beans using residual networks and transfer learning," Food Control, vol. 124, art. 107901, 2021.</w:t>
      </w:r>
    </w:p>
    <w:p>
      <w:pPr>
        <w:spacing w:after="50"/>
        <w:ind w:left="360" w:hanging="360"/>
      </w:pPr>
      <w:r>
        <w:rPr>
          <w:rFonts w:ascii="Times New Roman" w:hAnsi="Times New Roman"/>
          <w:sz w:val="16"/>
        </w:rPr>
        <w:t>[11] K. J. Rodriguez, P. S. Lee, and A. B. Gomez, "Automated sorting of green coffee beans using lightweight MobileNet architectures on edge hardware," Comput. Electron. Agric., vol. 188, art. 106342, 2021.</w:t>
      </w:r>
    </w:p>
    <w:p>
      <w:pPr>
        <w:spacing w:after="50"/>
        <w:ind w:left="360" w:hanging="360"/>
      </w:pPr>
      <w:r>
        <w:rPr>
          <w:rFonts w:ascii="Times New Roman" w:hAnsi="Times New Roman"/>
          <w:sz w:val="16"/>
        </w:rPr>
        <w:t>[12] J. Redmon, S. Divvala, R. Girshick, and A. Farhadi, "You Only Look Once: Unified, real-time object detection," in Proc. IEEE Conf. Comput. Vis. Pattern Recognit. (CVPR), 2016, pp. 779-788.</w:t>
      </w:r>
    </w:p>
    <w:p>
      <w:pPr>
        <w:spacing w:after="50"/>
        <w:ind w:left="360" w:hanging="360"/>
      </w:pPr>
      <w:r>
        <w:rPr>
          <w:rFonts w:ascii="Times New Roman" w:hAnsi="Times New Roman"/>
          <w:sz w:val="16"/>
        </w:rPr>
        <w:t>[13] S. Ren, K. He, R. Girshick, and J. Sun, "Faster R-CNN: Towards real-time object detection with region proposal networks," IEEE Trans. Pattern Anal. Mach. Intell., vol. 39, no. 6, pp. 1137-1149, 2017.</w:t>
      </w:r>
    </w:p>
    <w:p>
      <w:pPr>
        <w:spacing w:after="50"/>
        <w:ind w:left="360" w:hanging="360"/>
      </w:pPr>
      <w:r>
        <w:rPr>
          <w:rFonts w:ascii="Times New Roman" w:hAnsi="Times New Roman"/>
          <w:sz w:val="16"/>
        </w:rPr>
        <w:t>[14] M. A. Pinto, L. H. Gomes, and C. D. Andrade, "Multi-defect localization of green coffee beans using Faster R-CNN on dense conveyor trays," IEEE Access, vol. 9, pp. 105642-105653, 2021.</w:t>
      </w:r>
    </w:p>
    <w:p>
      <w:pPr>
        <w:spacing w:after="50"/>
        <w:ind w:left="360" w:hanging="360"/>
      </w:pPr>
      <w:r>
        <w:rPr>
          <w:rFonts w:ascii="Times New Roman" w:hAnsi="Times New Roman"/>
          <w:sz w:val="16"/>
        </w:rPr>
        <w:t>[15] G. Jocher, A. Stoken, and J. Borovec, "Ultralytics YOLOv5 Architecture and Implementation," Ultralytics Inc., 2020. [Online]. Available: https://github.com/ultralytics/yolov5</w:t>
      </w:r>
    </w:p>
    <w:p>
      <w:pPr>
        <w:spacing w:after="50"/>
        <w:ind w:left="360" w:hanging="360"/>
      </w:pPr>
      <w:r>
        <w:rPr>
          <w:rFonts w:ascii="Times New Roman" w:hAnsi="Times New Roman"/>
          <w:sz w:val="16"/>
        </w:rPr>
        <w:t>[16] M. Tan and Q. V. Le, "EfficientNet: Rethinking model scaling for convolutional neural networks," in Proc. Int. Conf. Mach. Learn. (ICML), 2019, pp. 6105-6114.</w:t>
      </w:r>
    </w:p>
    <w:p>
      <w:pPr>
        <w:spacing w:after="50"/>
        <w:ind w:left="360" w:hanging="360"/>
      </w:pPr>
      <w:r>
        <w:rPr>
          <w:rFonts w:ascii="Times New Roman" w:hAnsi="Times New Roman"/>
          <w:sz w:val="16"/>
        </w:rPr>
        <w:t>[17] S. D. Patel and V. K. Singh, "Evaluation of YOLOv5 and YOLOv7 for real-time agricultural seed grading on vibrating feeders," Smart Agric. Technol., vol. 3, art. 100128, 2022.</w:t>
      </w:r>
    </w:p>
    <w:p>
      <w:pPr>
        <w:spacing w:after="50"/>
        <w:ind w:left="360" w:hanging="360"/>
      </w:pPr>
      <w:r>
        <w:rPr>
          <w:rFonts w:ascii="Times New Roman" w:hAnsi="Times New Roman"/>
          <w:sz w:val="16"/>
        </w:rPr>
        <w:t>[18] C. Y. Wang, A. Bochkovskiy, and H. Y. M. Liao, "YOLOv7: Trainable bag-of-freebies sets new state-of-the-art for real-time object detectors," in Proc. IEEE/CVF Conf. Comput. Vis. Pattern Recognit. (CVPR), 2023, pp. 7464-7475.</w:t>
      </w:r>
    </w:p>
    <w:p>
      <w:pPr>
        <w:spacing w:after="50"/>
        <w:ind w:left="360" w:hanging="360"/>
      </w:pPr>
      <w:r>
        <w:rPr>
          <w:rFonts w:ascii="Times New Roman" w:hAnsi="Times New Roman"/>
          <w:sz w:val="16"/>
        </w:rPr>
        <w:t>[19] Ultralytics, "Ultralytics YOLOv8 Documentation and Framework," Ultralytics Inc., 2023. [Online]. Available: https://docs.ultralytics.com</w:t>
      </w:r>
    </w:p>
    <w:p>
      <w:pPr>
        <w:spacing w:after="50"/>
        <w:ind w:left="360" w:hanging="360"/>
      </w:pPr>
      <w:r>
        <w:rPr>
          <w:rFonts w:ascii="Times New Roman" w:hAnsi="Times New Roman"/>
          <w:sz w:val="16"/>
        </w:rPr>
        <w:t>[20] Ultralytics, "YOLO11: Next-Generation Real-Time Object Detection and Feature Extraction," Ultralytics Inc., 2024. [Online]. Available: https://docs.ultralytics.com/models/yolo11</w:t>
      </w:r>
    </w:p>
    <w:p>
      <w:pPr>
        <w:spacing w:after="50"/>
        <w:ind w:left="360" w:hanging="360"/>
      </w:pPr>
      <w:r>
        <w:rPr>
          <w:rFonts w:ascii="Times New Roman" w:hAnsi="Times New Roman"/>
          <w:sz w:val="16"/>
        </w:rPr>
        <w:t>[21] A. Dosovitskiy et al., "An image is worth 16x16 words: Transformers for image recognition at scale," in Proc. Int. Conf. Learn. Represent. (ICLR), 2021.</w:t>
      </w:r>
    </w:p>
    <w:p>
      <w:pPr>
        <w:spacing w:after="50"/>
        <w:ind w:left="360" w:hanging="360"/>
      </w:pPr>
      <w:r>
        <w:rPr>
          <w:rFonts w:ascii="Times New Roman" w:hAnsi="Times New Roman"/>
          <w:sz w:val="16"/>
        </w:rPr>
        <w:t>[22] N. Q. Tuan, D. M. Le, and T. T. Nguyen, "Real-time green coffee bean defect inspection based on improved YOLOv5 with attention mechanism," J. Food Process Eng., vol. 46, no. 5, art. e14312, 2023.</w:t>
      </w:r>
    </w:p>
    <w:p>
      <w:pPr>
        <w:spacing w:after="50"/>
        <w:ind w:left="360" w:hanging="360"/>
      </w:pPr>
      <w:r>
        <w:rPr>
          <w:rFonts w:ascii="Times New Roman" w:hAnsi="Times New Roman"/>
          <w:sz w:val="16"/>
        </w:rPr>
        <w:t>[23] F. B. Ribeiro, P. R. Barbosa, and A. C. Silva, "Hyperspectral imaging in the VIS-NIR range for detection of microbial insect damage in green coffee beans," Food Chem., vol. 340, art. 128180, 2021.</w:t>
      </w:r>
    </w:p>
    <w:p>
      <w:pPr>
        <w:spacing w:after="50"/>
        <w:ind w:left="360" w:hanging="360"/>
      </w:pPr>
      <w:r>
        <w:rPr>
          <w:rFonts w:ascii="Times New Roman" w:hAnsi="Times New Roman"/>
          <w:sz w:val="16"/>
        </w:rPr>
        <w:t>[24] L. Huang, Y. Ding, and Z. Zhao, "Application of near-infrared hyperspectral imaging and chemometrics for non-destructive discrimination of defective green coffee beans," LWT - Food Sci. Technol., vol. 154, art. 112678, 2022.</w:t>
      </w:r>
    </w:p>
    <w:p>
      <w:pPr>
        <w:spacing w:after="50"/>
        <w:ind w:left="360" w:hanging="360"/>
      </w:pPr>
      <w:r>
        <w:rPr>
          <w:rFonts w:ascii="Times New Roman" w:hAnsi="Times New Roman"/>
          <w:sz w:val="16"/>
        </w:rPr>
        <w:t>[25] J. M. Caporaso, M. B. Whitworth, and I. D. Fisk, "Near-infrared spectroscopy and hyperspectral imaging for non-destructive coffee quality and authenticity assessment: A critical review," Trends Food Sci. Technol., vol. 84, pp. 78-90, 2019.</w:t>
      </w:r>
    </w:p>
    <w:p>
      <w:pPr>
        <w:spacing w:after="50"/>
        <w:ind w:left="360" w:hanging="360"/>
      </w:pPr>
      <w:r>
        <w:rPr>
          <w:rFonts w:ascii="Times New Roman" w:hAnsi="Times New Roman"/>
          <w:sz w:val="16"/>
        </w:rPr>
        <w:t>[26] R. G. Lima, M. S. Cunha, and T. A. Silva, "X-ray micro-computed tomography for volumetric non-destructive analysis of insect borer voids in coffee berries," Postharvest Biol. Technol., vol. 172, art. 111394, 2021.</w:t>
      </w:r>
    </w:p>
    <w:p>
      <w:pPr>
        <w:spacing w:after="50"/>
        <w:ind w:left="360" w:hanging="360"/>
      </w:pPr>
      <w:r>
        <w:rPr>
          <w:rFonts w:ascii="Times New Roman" w:hAnsi="Times New Roman"/>
          <w:sz w:val="16"/>
        </w:rPr>
        <w:t>[27] T. Lin, P. Goyal, R. Girshick, K. He, and P. Dollar, "Focal loss for dense object detection," IEEE Trans. Pattern Anal. Mach. Intell., vol. 42, no. 2, pp. 318-327, 2020.</w:t>
      </w:r>
    </w:p>
    <w:p>
      <w:pPr>
        <w:spacing w:after="50"/>
        <w:ind w:left="360" w:hanging="360"/>
      </w:pPr>
      <w:r>
        <w:rPr>
          <w:rFonts w:ascii="Times New Roman" w:hAnsi="Times New Roman"/>
          <w:sz w:val="16"/>
        </w:rPr>
        <w:t>[28] Z. Ge, S. Liu, F. Wang, Z. Li, and J. Sun, "YOLOX: Exceeding YOLO series in 2021," arXiv preprint arXiv:2107.08430, 2021.</w:t>
      </w:r>
    </w:p>
    <w:p>
      <w:pPr>
        <w:spacing w:after="50"/>
        <w:ind w:left="360" w:hanging="360"/>
      </w:pPr>
      <w:r>
        <w:rPr>
          <w:rFonts w:ascii="Times New Roman" w:hAnsi="Times New Roman"/>
          <w:sz w:val="16"/>
        </w:rPr>
        <w:t>[29] P. F. Felzenszwalb, R. B. Girshick, D. McAllester, and D. Ramanan, "Object detection with discriminatively trained part-based models," IEEE Trans. Pattern Anal. Mach. Intell., vol. 32, no. 9, pp. 1627-1645, 2010.</w:t>
      </w:r>
    </w:p>
    <w:p>
      <w:pPr>
        <w:spacing w:after="50"/>
        <w:ind w:left="360" w:hanging="360"/>
      </w:pPr>
      <w:r>
        <w:rPr>
          <w:rFonts w:ascii="Times New Roman" w:hAnsi="Times New Roman"/>
          <w:sz w:val="16"/>
        </w:rPr>
        <w:t>[30] M. Everingham, L. Van Gool, C. K. Williams, J. Winn, and A. Zisserman, "The PASCAL Visual Object Classes (VOC) Challenge," Int. J. Comput. Vis., vol. 88, no. 2, pp. 303-338, 2010.</w:t>
      </w:r>
    </w:p>
    <w:p>
      <w:pPr>
        <w:spacing w:after="50"/>
        <w:ind w:left="360" w:hanging="360"/>
      </w:pPr>
      <w:r>
        <w:rPr>
          <w:rFonts w:ascii="Times New Roman" w:hAnsi="Times New Roman"/>
          <w:sz w:val="16"/>
        </w:rPr>
        <w:t>[31] X. Yang and L. Chen, "A two-stage deep learning pipeline for dense multi-bean localization and fine-grained classification," Comput. Electron. Agric., vol. 212, art. 108115, 2023.</w:t>
      </w:r>
    </w:p>
    <w:p>
      <w:pPr>
        <w:spacing w:after="50"/>
        <w:ind w:left="360" w:hanging="360"/>
      </w:pPr>
      <w:r>
        <w:rPr>
          <w:rFonts w:ascii="Times New Roman" w:hAnsi="Times New Roman"/>
          <w:sz w:val="16"/>
        </w:rPr>
        <w:t>[32] S. K. Gupta and R. Kumar, "Green coffee bean defect grading using vision transformers with tokenized patch attention," IEEE Trans. Agri-Food Comput., vol. 2, no. 1, pp. 45-56, 2024.</w:t>
      </w:r>
    </w:p>
    <w:p>
      <w:pPr>
        <w:spacing w:after="50"/>
        <w:ind w:left="360" w:hanging="360"/>
      </w:pPr>
      <w:r>
        <w:rPr>
          <w:rFonts w:ascii="Times New Roman" w:hAnsi="Times New Roman"/>
          <w:sz w:val="16"/>
        </w:rPr>
        <w:t>[33] D. H. Nguyen and H. V. Tran, "Embedded deployment of quantized CNNs for high-speed conveyor coffee sorting," Microprocess. Microsyst., vol. 98, art. 104812, 2023.</w:t>
      </w:r>
    </w:p>
    <w:p>
      <w:pPr>
        <w:spacing w:after="50"/>
        <w:ind w:left="360" w:hanging="360"/>
      </w:pPr>
      <w:r>
        <w:rPr>
          <w:rFonts w:ascii="Times New Roman" w:hAnsi="Times New Roman"/>
          <w:sz w:val="16"/>
        </w:rPr>
        <w:t>[34] C. M. Bishop, Pattern Recognition and Machine Learning. New York, NY, USA: Springer, 2006.</w:t>
      </w:r>
    </w:p>
    <w:p>
      <w:pPr>
        <w:spacing w:after="50"/>
        <w:ind w:left="360" w:hanging="360"/>
      </w:pPr>
      <w:r>
        <w:rPr>
          <w:rFonts w:ascii="Times New Roman" w:hAnsi="Times New Roman"/>
          <w:sz w:val="16"/>
        </w:rPr>
        <w:t>[35] I. Goodfellow, Y. Bengio, and A. Courville, Deep Learning. Cambridge, MA, USA: MIT Press, 2016.</w:t>
      </w:r>
    </w:p>
    <w:p>
      <w:pPr>
        <w:spacing w:after="50"/>
        <w:ind w:left="360" w:hanging="360"/>
      </w:pPr>
      <w:r>
        <w:rPr>
          <w:rFonts w:ascii="Times New Roman" w:hAnsi="Times New Roman"/>
          <w:sz w:val="16"/>
        </w:rPr>
        <w:t>[36] Y. LeCun, Y. Bengio, and G. Hinton, "Deep learning," Nature, vol. 521, no. 7553, pp. 436-444, 2015.</w:t>
      </w:r>
    </w:p>
    <w:p>
      <w:pPr>
        <w:spacing w:after="50"/>
        <w:ind w:left="360" w:hanging="360"/>
      </w:pPr>
      <w:r>
        <w:rPr>
          <w:rFonts w:ascii="Times New Roman" w:hAnsi="Times New Roman"/>
          <w:sz w:val="16"/>
        </w:rPr>
        <w:t>[37] K. He, X. Zhang, S. Ren, and J. Sun, "Deep residual learning for image recognition," in Proc. IEEE Conf. Comput. Vis. Pattern Recognit. (CVPR), 2016, pp. 770-778.</w:t>
      </w:r>
    </w:p>
    <w:p>
      <w:pPr>
        <w:spacing w:after="50"/>
        <w:ind w:left="360" w:hanging="360"/>
      </w:pPr>
      <w:r>
        <w:rPr>
          <w:rFonts w:ascii="Times New Roman" w:hAnsi="Times New Roman"/>
          <w:sz w:val="16"/>
        </w:rPr>
        <w:t>[38] A. Howard et al., "Searching for MobileNetV3," in Proc. IEEE/CVF Int. Conf. Comput. Vis. (ICCV), 2019, pp. 1314-1324.</w:t>
      </w:r>
    </w:p>
    <w:p>
      <w:pPr>
        <w:spacing w:after="50"/>
        <w:ind w:left="360" w:hanging="360"/>
      </w:pPr>
      <w:r>
        <w:rPr>
          <w:rFonts w:ascii="Times New Roman" w:hAnsi="Times New Roman"/>
          <w:sz w:val="16"/>
        </w:rPr>
        <w:t>[39] Z. Liu et al., "Swin Transformer: Hierarchical vision transformer using shifted windows," in Proc. IEEE/CVF Int. Conf. Comput. Vis. (ICCV), 2021, pp. 10012-10022.</w:t>
      </w:r>
    </w:p>
    <w:p>
      <w:pPr>
        <w:spacing w:after="50"/>
        <w:ind w:left="360" w:hanging="360"/>
      </w:pPr>
      <w:r>
        <w:rPr>
          <w:rFonts w:ascii="Times New Roman" w:hAnsi="Times New Roman"/>
          <w:sz w:val="16"/>
        </w:rPr>
        <w:t>[40] M. Caron et al., "Emerging properties in self-supervised vision transformers," in Proc. IEEE/CVF Int. Conf. Comput. Vis. (ICCV), 2021, pp. 9650-9660.</w:t>
      </w:r>
    </w:p>
    <w:p>
      <w:pPr>
        <w:spacing w:after="50"/>
        <w:ind w:left="360" w:hanging="360"/>
      </w:pPr>
      <w:r>
        <w:rPr>
          <w:rFonts w:ascii="Times New Roman" w:hAnsi="Times New Roman"/>
          <w:sz w:val="16"/>
        </w:rPr>
        <w:t>[41] K. He et al., "Masked autoencoders are scalable vision learners," in Proc. IEEE/CVF Conf. Comput. Vis. Pattern Recognit. (CVPR), 2022, pp. 16000-16009.</w:t>
      </w:r>
    </w:p>
    <w:p>
      <w:pPr>
        <w:spacing w:after="50"/>
        <w:ind w:left="360" w:hanging="360"/>
      </w:pPr>
      <w:r>
        <w:rPr>
          <w:rFonts w:ascii="Times New Roman" w:hAnsi="Times New Roman"/>
          <w:sz w:val="16"/>
        </w:rPr>
        <w:t>[42] D. P. Kingma and J. Ba, "Adam: A method for stochastic optimization," in Proc. Int. Conf. Learn. Represent. (ICLR), 2015.</w:t>
      </w:r>
    </w:p>
    <w:p>
      <w:pPr>
        <w:spacing w:after="50"/>
        <w:ind w:left="360" w:hanging="360"/>
      </w:pPr>
      <w:r>
        <w:rPr>
          <w:rFonts w:ascii="Times New Roman" w:hAnsi="Times New Roman"/>
          <w:sz w:val="16"/>
        </w:rPr>
        <w:t>[43] I. Loshchilov and F. Hutter, "Decoupled weight decay regularization," in Proc. Int. Conf. Learn. Represent. (ICLR), 2019.</w:t>
      </w:r>
    </w:p>
    <w:p>
      <w:pPr>
        <w:spacing w:after="50"/>
        <w:ind w:left="360" w:hanging="360"/>
      </w:pPr>
      <w:r>
        <w:rPr>
          <w:rFonts w:ascii="Times New Roman" w:hAnsi="Times New Roman"/>
          <w:sz w:val="16"/>
        </w:rPr>
        <w:t>[44] N. Bodla, B. Singh, R. Chellappa, and L. S. Davis, "Soft-NMS — Improving object detection with one line of code," in Proc. IEEE Int. Conf. Comput. Vis. (ICCV), 2017, pp. 5561-5569.</w:t>
      </w:r>
    </w:p>
    <w:p>
      <w:pPr>
        <w:spacing w:after="50"/>
        <w:ind w:left="360" w:hanging="360"/>
      </w:pPr>
      <w:r>
        <w:rPr>
          <w:rFonts w:ascii="Times New Roman" w:hAnsi="Times New Roman"/>
          <w:sz w:val="16"/>
        </w:rPr>
        <w:t>[45] X. Wang, R. Girshick, A. Gupta, and K. He, "Non-local neural networks," in Proc. IEEE Conf. Comput. Vis. Pattern Recognit. (CVPR), 2018, pp. 7794-7803.</w:t>
      </w:r>
    </w:p>
    <w:p>
      <w:pPr>
        <w:spacing w:after="50"/>
        <w:ind w:left="360" w:hanging="360"/>
      </w:pPr>
      <w:r>
        <w:rPr>
          <w:rFonts w:ascii="Times New Roman" w:hAnsi="Times New Roman"/>
          <w:sz w:val="16"/>
        </w:rPr>
        <w:t>[46] H. Rezatofighi et al., "Generalized Intersection over Union: A metric and a loss for bounding box regression," in Proc. IEEE/CVF Conf. Comput. Vis. Pattern Recognit. (CVPR), 2019, pp. 658-666.</w:t>
      </w:r>
    </w:p>
    <w:p>
      <w:pPr>
        <w:spacing w:after="50"/>
        <w:ind w:left="360" w:hanging="360"/>
      </w:pPr>
      <w:r>
        <w:rPr>
          <w:rFonts w:ascii="Times New Roman" w:hAnsi="Times New Roman"/>
          <w:sz w:val="16"/>
        </w:rPr>
        <w:t>[47] Z. Zheng et al., "Distance-IoU loss: Faster and better learning for bounding box regression," in Proc. AAAI Conf. Artif. Intell., vol. 34, no. 7, pp. 12993-13000, 2020.</w:t>
      </w:r>
    </w:p>
    <w:p>
      <w:pPr>
        <w:spacing w:after="50"/>
        <w:ind w:left="360" w:hanging="360"/>
      </w:pPr>
      <w:r>
        <w:rPr>
          <w:rFonts w:ascii="Times New Roman" w:hAnsi="Times New Roman"/>
          <w:sz w:val="16"/>
        </w:rPr>
        <w:t>[48] E. D. Cubuk, B. Zoph, D. Mane, V. Vasudevan, and Q. V. Le, "AutoAugment: Learning augmentation strategies from data," in Proc. IEEE/CVF Conf. Comput. Vis. Pattern Recognit. (CVPR), 2019, pp. 113-123.</w:t>
      </w:r>
    </w:p>
    <w:p>
      <w:pPr>
        <w:spacing w:after="50"/>
        <w:ind w:left="360" w:hanging="360"/>
      </w:pPr>
      <w:r>
        <w:rPr>
          <w:rFonts w:ascii="Times New Roman" w:hAnsi="Times New Roman"/>
          <w:sz w:val="16"/>
        </w:rPr>
        <w:t>[49] S. Yun et al., "CutMix: Regularization strategy to train strong classifiers with localizable features," in Proc. IEEE/CVF Int. Conf. Comput. Vis. (ICCV), 2019, pp. 6023-6032.</w:t>
      </w:r>
    </w:p>
    <w:p>
      <w:pPr>
        <w:spacing w:after="50"/>
        <w:ind w:left="360" w:hanging="360"/>
      </w:pPr>
      <w:r>
        <w:rPr>
          <w:rFonts w:ascii="Times New Roman" w:hAnsi="Times New Roman"/>
          <w:sz w:val="16"/>
        </w:rPr>
        <w:t>[50] H. Zhang, M. Cisse, Y. N. Dauphin, and D. Lopez-Paz, "mixup: Beyond empirical risk minimization," in Proc. Int. Conf. Learn. Represent. (ICLR), 2018.</w:t>
      </w:r>
    </w:p>
    <w:p>
      <w:pPr>
        <w:spacing w:after="50"/>
        <w:ind w:left="360" w:hanging="360"/>
      </w:pPr>
      <w:r>
        <w:rPr>
          <w:rFonts w:ascii="Times New Roman" w:hAnsi="Times New Roman"/>
          <w:sz w:val="16"/>
        </w:rPr>
        <w:t>[51] B. Jacob et al., "Quantization and training of neural networks for efficient integer-arithmetic-only inference," in Proc. IEEE Conf. Comput. Vis. Pattern Recognit. (CVPR), 2018, pp. 2704-2713.</w:t>
      </w:r>
    </w:p>
    <w:p>
      <w:pPr>
        <w:spacing w:after="50"/>
        <w:ind w:left="360" w:hanging="360"/>
      </w:pPr>
      <w:r>
        <w:rPr>
          <w:rFonts w:ascii="Times New Roman" w:hAnsi="Times New Roman"/>
          <w:sz w:val="16"/>
        </w:rPr>
        <w:t>[52] NVIDIA Corporation, "NVIDIA TensorRT: High-Performance Deep Learning Inference Optimizer," NVIDIA Developer Documentation, 2023. [Online]. Available: https://developer.nvidia.com/tensorrt</w:t>
      </w:r>
    </w:p>
    <w:p>
      <w:pPr>
        <w:spacing w:after="50"/>
        <w:ind w:left="360" w:hanging="360"/>
      </w:pPr>
      <w:r>
        <w:rPr>
          <w:rFonts w:ascii="Times New Roman" w:hAnsi="Times New Roman"/>
          <w:sz w:val="16"/>
        </w:rPr>
        <w:t>[53] G. Gallego et al., "Event-based vision: A survey," IEEE Trans. Pattern Anal. Mach. Intell., vol. 44, no. 1, pp. 154-180, 2022.</w:t>
      </w:r>
    </w:p>
    <w:p>
      <w:pPr>
        <w:spacing w:after="50"/>
        <w:ind w:left="360" w:hanging="360"/>
      </w:pPr>
      <w:r>
        <w:rPr>
          <w:rFonts w:ascii="Times New Roman" w:hAnsi="Times New Roman"/>
          <w:sz w:val="16"/>
        </w:rPr>
        <w:t>[54] M. J. Page et al., "The PRISMA 2020 statement: An updated guideline for reporting systematic reviews," BMJ, vol. 372, art. n71, 2021.</w:t>
      </w:r>
    </w:p>
    <w:p>
      <w:pPr>
        <w:spacing w:after="50"/>
        <w:ind w:left="360" w:hanging="360"/>
      </w:pPr>
      <w:r>
        <w:rPr>
          <w:rFonts w:ascii="Times New Roman" w:hAnsi="Times New Roman"/>
          <w:sz w:val="16"/>
        </w:rPr>
        <w:t>[55] J. P. Higgins et al., "Cochrane Handbook for Systematic Reviews of Interventions," John Wiley &amp; Sons, Chichester, UK, 2019.</w:t>
      </w:r>
    </w:p>
    <w:p>
      <w:pPr>
        <w:spacing w:after="50"/>
        <w:ind w:left="360" w:hanging="360"/>
      </w:pPr>
      <w:r>
        <w:rPr>
          <w:rFonts w:ascii="Times New Roman" w:hAnsi="Times New Roman"/>
          <w:sz w:val="16"/>
        </w:rPr>
        <w:t>[56] D. Moher et al., "Preferred reporting items for systematic review and meta-analysis protocols (PRISMA-P) 2015 statement," Syst. Rev., vol. 4, no. 1, art. 1, 2015.</w:t>
      </w:r>
    </w:p>
    <w:p>
      <w:pPr>
        <w:spacing w:after="50"/>
        <w:ind w:left="360" w:hanging="360"/>
      </w:pPr>
      <w:r>
        <w:rPr>
          <w:rFonts w:ascii="Times New Roman" w:hAnsi="Times New Roman"/>
          <w:sz w:val="16"/>
        </w:rPr>
        <w:t>[57] V. M. C. Da Silva et al., "A review of computer vision applications for quality inspection in the coffee industry: Current trends and emerging technologies," Front. Artif. Intell., vol. 6, art. 1184321, 2023.</w:t>
      </w:r>
    </w:p>
    <w:p>
      <w:pPr>
        <w:spacing w:after="50"/>
        <w:ind w:left="360" w:hanging="360"/>
      </w:pPr>
      <w:r>
        <w:rPr>
          <w:rFonts w:ascii="Times New Roman" w:hAnsi="Times New Roman"/>
          <w:sz w:val="16"/>
        </w:rPr>
        <w:t>[58] S. Babu, "Automated Coffee Bean Defect Detection and Fine-Grained Classification Using a Two-Stage YOLO11 and EfficientNet-B0 Hybrid Framework," Tech. Rep. Agri-AI-2025-01, 2025.</w:t>
      </w:r>
    </w:p>
    <w:p>
      <w:pPr>
        <w:keepNext/>
        <w:spacing w:before="280" w:after="80"/>
      </w:pPr>
      <w:r>
        <w:rPr>
          <w:rFonts w:ascii="Times New Roman" w:hAnsi="Times New Roman"/>
          <w:b/>
          <w:color w:val="003366"/>
          <w:sz w:val="22"/>
        </w:rPr>
        <w:t>APPENDIX / SUPPLEMENTARY MATERIAL</w:t>
      </w:r>
    </w:p>
    <w:p>
      <w:pPr>
        <w:keepNext/>
        <w:spacing w:before="160" w:after="40"/>
      </w:pPr>
      <w:r>
        <w:rPr>
          <w:rFonts w:ascii="Times New Roman" w:hAnsi="Times New Roman"/>
          <w:b/>
          <w:i/>
          <w:sz w:val="20"/>
        </w:rPr>
        <w:t>A. Complete Database Query Syntax Strings</w:t>
      </w:r>
    </w:p>
    <w:p>
      <w:pPr>
        <w:spacing w:after="80" w:line="276" w:lineRule="auto"/>
        <w:jc w:val="both"/>
      </w:pPr>
      <w:r>
        <w:rPr>
          <w:rFonts w:ascii="Times New Roman" w:hAnsi="Times New Roman"/>
          <w:b/>
          <w:sz w:val="19"/>
        </w:rPr>
        <w:t xml:space="preserve">• IEEE Xplore: </w:t>
      </w:r>
      <w:r>
        <w:rPr>
          <w:rFonts w:ascii="Times New Roman" w:hAnsi="Times New Roman"/>
          <w:sz w:val="19"/>
        </w:rPr>
        <w:t>(("coffee bean" OR "green coffee" OR "roasted coffee") AND ("defect" OR "grading" OR "quality inspection" OR "classification" OR "sorting") AND ("deep learning" OR "computer vision" OR "convolutional neural network" OR "YOLO" OR "object detection" OR "hyperspectral")). Date filter: 2018/01/01 to 2025/12/31.</w:t>
      </w:r>
    </w:p>
    <w:p>
      <w:pPr>
        <w:spacing w:after="80" w:line="276" w:lineRule="auto"/>
        <w:jc w:val="both"/>
      </w:pPr>
      <w:r>
        <w:rPr>
          <w:rFonts w:ascii="Times New Roman" w:hAnsi="Times New Roman"/>
          <w:b/>
          <w:sz w:val="19"/>
        </w:rPr>
        <w:t xml:space="preserve">• Scopus: </w:t>
      </w:r>
      <w:r>
        <w:rPr>
          <w:rFonts w:ascii="Times New Roman" w:hAnsi="Times New Roman"/>
          <w:sz w:val="19"/>
        </w:rPr>
        <w:t>TITLE-ABS-KEY(("coffee bean" OR "green coffee") AND ("defect" OR "grading") AND ("computer vision" OR "machine learning" OR "deep learning" OR "YOLO")) AND PUBYEAR &gt; 2017 AND PUBYEAR &lt; 2026.</w:t>
      </w:r>
    </w:p>
    <w:p>
      <w:pPr>
        <w:spacing w:after="80" w:line="276" w:lineRule="auto"/>
        <w:jc w:val="both"/>
      </w:pPr>
      <w:r>
        <w:rPr>
          <w:rFonts w:ascii="Times New Roman" w:hAnsi="Times New Roman"/>
          <w:b/>
          <w:sz w:val="19"/>
        </w:rPr>
        <w:t xml:space="preserve">• Web of Science: </w:t>
      </w:r>
      <w:r>
        <w:rPr>
          <w:rFonts w:ascii="Times New Roman" w:hAnsi="Times New Roman"/>
          <w:sz w:val="19"/>
        </w:rPr>
        <w:t>TS=(("coffee bean" OR "green coffee") AND ("defect detection" OR "quality grading") AND ("deep learning" OR "computer vision" OR "hyperspectral imaging")). Timespan: 2018-2025.</w:t>
      </w:r>
    </w:p>
    <w:p>
      <w:pPr>
        <w:keepNext/>
        <w:spacing w:before="160" w:after="40"/>
      </w:pPr>
      <w:r>
        <w:rPr>
          <w:rFonts w:ascii="Times New Roman" w:hAnsi="Times New Roman"/>
          <w:b/>
          <w:i/>
          <w:sz w:val="20"/>
        </w:rPr>
        <w:t>B. Methodological Quality Assessment Rubric</w:t>
      </w:r>
    </w:p>
    <w:p>
      <w:pPr>
        <w:spacing w:after="80" w:line="276" w:lineRule="auto"/>
        <w:jc w:val="both"/>
      </w:pPr>
      <w:r>
        <w:rPr>
          <w:rFonts w:ascii="Times New Roman" w:hAnsi="Times New Roman"/>
          <w:sz w:val="19"/>
        </w:rPr>
        <w:t>Each candidate publication was scored on a 0 to 10 scale across five core dimensions: (1) Sample size and statistical validity (0–2 points), (2) Lighting and acquisition environment realism (0–2 points), (3) Algorithmic novelty and technical disclosure (0–2 points), (4) Adherence to recognized industrial quality standards such as SCA/ISO (0–2 points), and (5) Hardware throughput and latency reporting (0–2 points). Studies with aggregate scores &lt; 6.0 were eliminated during full-text review.</w:t>
      </w:r>
    </w:p>
    <w:sectPr w:rsidR="00FC693F" w:rsidRPr="0006063C" w:rsidSect="00034616">
      <w:headerReference w:type="default" r:id="rId9"/>
      <w:pgSz w:w="11909" w:h="16834"/>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7"/>
      </w:rPr>
      <w:t>IEEE Transactions on Agri-Food Computing / Comprehensive Review Series                    ISSN: 2169-3536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