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40"/>
        </w:rPr>
        <w:t>Automated Coffee Bean Defect Detection and Fine-Grained Classification Using a Two-Stage YOLO11 and EfficientNet-B0 Hybrid Framework</w:t>
      </w:r>
    </w:p>
    <w:p>
      <w:pPr>
        <w:spacing w:after="280"/>
        <w:jc w:val="center"/>
      </w:pPr>
      <w:r>
        <w:rPr>
          <w:rFonts w:ascii="Times New Roman" w:hAnsi="Times New Roman"/>
          <w:i/>
          <w:sz w:val="24"/>
        </w:rPr>
        <w:t>A Deep Learning Approach for High-Density Green Coffee Grading and Industrial Quality Assessment</w:t>
      </w:r>
    </w:p>
    <w:tbl>
      <w:tblPr>
        <w:tblW w:type="auto" w:w="0"/>
        <w:jc w:val="center"/>
        <w:tblLayout w:type="fixed"/>
        <w:tblLook w:firstColumn="1" w:firstRow="1" w:lastColumn="0" w:lastRow="0" w:noHBand="0" w:noVBand="1" w:val="04A0"/>
      </w:tblPr>
      <w:tblGrid>
        <w:gridCol w:w="5061"/>
        <w:gridCol w:w="5061"/>
      </w:tblGrid>
      <w:tr>
        <w:tc>
          <w:tcPr>
            <w:tcW w:type="dxa" w:w="4968"/>
          </w:tcPr>
          <w:p>
            <w:pPr>
              <w:jc w:val="center"/>
            </w:pPr>
            <w:r>
              <w:rPr>
                <w:rFonts w:ascii="Times New Roman" w:hAnsi="Times New Roman"/>
                <w:b/>
                <w:sz w:val="20"/>
              </w:rPr>
              <w:t>Suresh Babu &amp; Project Team</w:t>
              <w:br/>
            </w:r>
            <w:r>
              <w:rPr>
                <w:rFonts w:ascii="Times New Roman" w:hAnsi="Times New Roman"/>
                <w:sz w:val="18"/>
              </w:rPr>
              <w:t>Department of Computer Science &amp; Engineering</w:t>
              <w:br/>
              <w:t>B.Tech Final Year Project Laboratory</w:t>
              <w:br/>
              <w:t>Andhra Pradesh, India</w:t>
              <w:br/>
              <w:t>sureshbabu.project@institution.edu</w:t>
            </w:r>
          </w:p>
        </w:tc>
        <w:tc>
          <w:tcPr>
            <w:tcW w:type="dxa" w:w="4968"/>
          </w:tcPr>
          <w:p>
            <w:pPr>
              <w:jc w:val="center"/>
            </w:pPr>
            <w:r>
              <w:rPr>
                <w:rFonts w:ascii="Times New Roman" w:hAnsi="Times New Roman"/>
                <w:b/>
                <w:sz w:val="20"/>
              </w:rPr>
              <w:t>Academic Supervisor</w:t>
              <w:br/>
            </w:r>
            <w:r>
              <w:rPr>
                <w:rFonts w:ascii="Times New Roman" w:hAnsi="Times New Roman"/>
                <w:sz w:val="18"/>
              </w:rPr>
              <w:t>Department of Computer Science &amp; Engineering</w:t>
              <w:br/>
              <w:t>Faculty of Engineering &amp; Technology</w:t>
              <w:br/>
              <w:t>Andhra Pradesh, India</w:t>
              <w:br/>
              <w:t>supervisor.cse@institution.edu</w:t>
            </w:r>
          </w:p>
        </w:tc>
      </w:tr>
    </w:tbl>
    <w:p>
      <w:pPr>
        <w:spacing w:before="160" w:after="160"/>
      </w:pPr>
    </w:p>
    <w:p>
      <w:pPr>
        <w:spacing w:after="80" w:line="252" w:lineRule="auto"/>
      </w:pPr>
      <w:r>
        <w:rPr>
          <w:rFonts w:ascii="Times New Roman" w:hAnsi="Times New Roman"/>
          <w:b/>
          <w:i/>
          <w:sz w:val="19"/>
        </w:rPr>
        <w:t>Abstract—</w:t>
      </w:r>
      <w:r>
        <w:rPr>
          <w:rFonts w:ascii="Times New Roman" w:hAnsi="Times New Roman"/>
          <w:b/>
          <w:sz w:val="19"/>
        </w:rPr>
        <w:t>Commercial coffee bean quality grading directly determines agricultural export pricing, cup profile, and international compliance. Manual defect sorting remains labour-intensive, subjective, and prone to severe operator fatigue. Although end-to-end object detection architectures have been attempted, standard detectors struggle on high-density laboratory inspection trays containing 80 to 120 small beans per high-resolution (2560x1920) image, leading to missed beans and false detections when severely downsampled. This paper presents a robust two-stage hybrid framework decoupling object localization from fine-grained defect classification. In Stage 1, a lightweight YOLO11n detector isolates individual bean regions-of-interest (RoIs) with scale-invariant bounding boxes. In Stage 2, cropped high-resolution bean patches are classified by a fine-tuned EfficientNet-B0 network leveraging compound scaling and transfer learning. Our experimental evaluation on the benchmark coffee defect dataset demonstrates that this decoupled architecture eliminates severe label occlusion, accommodates divergent domain taxonomies (including foreign matter such as LIGHTFM and HEAVYFM alongside primary bean defects), and delivers a highly accurate, real-time automated assessment pipeline deployed via an interactive web application suitable for edge and laboratory deployment.</w:t>
      </w:r>
    </w:p>
    <w:p>
      <w:pPr>
        <w:spacing w:after="280"/>
      </w:pPr>
      <w:r>
        <w:rPr>
          <w:rFonts w:ascii="Times New Roman" w:hAnsi="Times New Roman"/>
          <w:b/>
          <w:i/>
          <w:sz w:val="19"/>
        </w:rPr>
        <w:t>Keywords—</w:t>
      </w:r>
      <w:r>
        <w:rPr>
          <w:rFonts w:ascii="Times New Roman" w:hAnsi="Times New Roman"/>
          <w:sz w:val="19"/>
        </w:rPr>
        <w:t>Coffee Bean Defect Detection, YOLO11, EfficientNet-B0, Two-Stage Hybrid Architecture, Computer Vision, Deep Learning, Agricultural Automation.</w:t>
      </w:r>
    </w:p>
    <w:p>
      <w:pPr>
        <w:sectPr>
          <w:headerReference w:type="default" r:id="rId9"/>
          <w:pgSz w:w="11909" w:h="16834"/>
          <w:pgMar w:top="1080" w:right="893" w:bottom="1080" w:left="893" w:header="720" w:footer="720" w:gutter="0"/>
          <w:cols w:space="720"/>
          <w:docGrid w:linePitch="360"/>
        </w:sectPr>
      </w:pPr>
    </w:p>
    <w:p>
      <w:pPr>
        <w:keepNext/>
        <w:spacing w:before="240" w:after="80"/>
      </w:pPr>
      <w:r>
        <w:rPr>
          <w:rFonts w:ascii="Times New Roman" w:hAnsi="Times New Roman"/>
          <w:b/>
          <w:sz w:val="20"/>
        </w:rPr>
        <w:t>I. INTRODUCTION</w:t>
      </w:r>
    </w:p>
    <w:p>
      <w:pPr>
        <w:spacing w:after="80" w:line="252" w:lineRule="auto"/>
        <w:ind w:firstLine="259"/>
      </w:pPr>
      <w:r>
        <w:rPr>
          <w:rFonts w:ascii="Times New Roman" w:hAnsi="Times New Roman"/>
          <w:sz w:val="19"/>
        </w:rPr>
        <w:t>Coffee (Coffea arabica and Coffea canephora) represents one of the most economically significant agricultural commodities globally. The physical quality of green coffee beans is strictly regulated by international standard organizations, such as the Specialty Coffee Association (SCA) and the International Coffee Organization (ICO). Defects such as black beans, sour or brown beans, insect-damaged seeds, mold infestation, and severe breakage introduce sour, harsh, fermented, or bitter off-flavors, significantly depreciating commercial value [1].</w:t>
      </w:r>
    </w:p>
    <w:p>
      <w:pPr>
        <w:spacing w:after="80" w:line="252" w:lineRule="auto"/>
        <w:ind w:firstLine="259"/>
      </w:pPr>
      <w:r>
        <w:rPr>
          <w:rFonts w:ascii="Times New Roman" w:hAnsi="Times New Roman"/>
          <w:sz w:val="19"/>
        </w:rPr>
        <w:t>Traditionally, defect sorting has relied on trained human cup-tasters and laboratory inspectors who manually sort samples from batch bags. However, manual visual grading suffers from high subjectivity, fatigue-induced error rates exceeding 25%, and limited batch throughput [2]. With the rapid advent of industrial computer vision and deep learning, convolutional neural networks (CNNs) have shown exceptional promise for automated agricultural quality control [3].</w:t>
      </w:r>
    </w:p>
    <w:p>
      <w:pPr>
        <w:spacing w:after="80" w:line="252" w:lineRule="auto"/>
        <w:ind w:firstLine="259"/>
      </w:pPr>
      <w:r>
        <w:rPr>
          <w:rFonts w:ascii="Times New Roman" w:hAnsi="Times New Roman"/>
          <w:sz w:val="19"/>
        </w:rPr>
        <w:t>Nevertheless, applying monolithic single-stage object detectors (such as standard YOLO variants) directly to industrial inspection trays presents substantial practical hurdles. Raw inspection images captured on grading trays exhibit ultra-high resolution (e.g., 2560x1920 pixels) and contain between 80 and 120 small coffee beans clustered closely together. Standard detector training pipelines downsample images to 320x320 or 640x640 pixels to meet memory constraints. Consequently, individual beans shrink to fewer than 8 to 15 pixels across, destroying subtle defect cues such as pinhole insect bores or micro-cracks.</w:t>
      </w:r>
    </w:p>
    <w:p>
      <w:pPr>
        <w:spacing w:after="80" w:line="252" w:lineRule="auto"/>
        <w:ind w:firstLine="259"/>
      </w:pPr>
      <w:r>
        <w:rPr>
          <w:rFonts w:ascii="Times New Roman" w:hAnsi="Times New Roman"/>
          <w:sz w:val="19"/>
        </w:rPr>
        <w:t>To resolve these bottlenecks, this research designs and demonstrates a two-stage hybrid framework: Stage 1 deploys a YOLO11n object detector specialized in bounding-box localization across the tray, while Stage 2 extracts full-resolution bean crops and feeds them into an EfficientNet-B0 classifier. This decoupled approach achieves high spatial localization and fine-grained classification without excessive memory overhead.</w:t>
      </w:r>
    </w:p>
    <w:p>
      <w:pPr>
        <w:keepNext/>
        <w:spacing w:before="240" w:after="80"/>
      </w:pPr>
      <w:r>
        <w:rPr>
          <w:rFonts w:ascii="Times New Roman" w:hAnsi="Times New Roman"/>
          <w:b/>
          <w:sz w:val="20"/>
        </w:rPr>
        <w:t>II. RELATED WORK</w:t>
      </w:r>
    </w:p>
    <w:p>
      <w:pPr>
        <w:spacing w:after="80" w:line="252" w:lineRule="auto"/>
        <w:ind w:firstLine="259"/>
      </w:pPr>
      <w:r>
        <w:rPr>
          <w:rFonts w:ascii="Times New Roman" w:hAnsi="Times New Roman"/>
          <w:sz w:val="19"/>
        </w:rPr>
        <w:t>Computer vision applications in coffee quality assessment have evolved across three generations. Early systems relied on handcrafted color histogram features and Support Vector Machines (SVMs) applied to isolated single-bean photos [4]. While effective under controlled lighting, these models failed under variable illumination and could not handle multi-bean inspection trays.</w:t>
      </w:r>
    </w:p>
    <w:p>
      <w:pPr>
        <w:spacing w:after="80" w:line="252" w:lineRule="auto"/>
        <w:ind w:firstLine="259"/>
      </w:pPr>
      <w:r>
        <w:rPr>
          <w:rFonts w:ascii="Times New Roman" w:hAnsi="Times New Roman"/>
          <w:sz w:val="19"/>
        </w:rPr>
        <w:t>The second generation introduced deep convolutional architectures such as ResNet, VGG-16, and MobileNet [5]. Although classification accuracy on cropped beans surpassed 90%, these networks required pre-segmented single-bean inputs, rendering them incapable of end-to-end tray grading. Recent third-generation attempts have applied YOLOv5, YOLOv8, and Faster R-CNN directly to whole tray images [6]. However, as demonstrated in our baseline analysis, direct one-stage detection across 100+ dense instances causes severe bounding-box overlap and poor small-object precision.</w:t>
      </w:r>
    </w:p>
    <w:p>
      <w:pPr>
        <w:keepNext/>
        <w:spacing w:before="240" w:after="80"/>
      </w:pPr>
      <w:r>
        <w:rPr>
          <w:rFonts w:ascii="Times New Roman" w:hAnsi="Times New Roman"/>
          <w:b/>
          <w:sz w:val="20"/>
        </w:rPr>
        <w:t>III. SYSTEM ARCHITECTURE AND METHODOLOGY</w:t>
      </w:r>
    </w:p>
    <w:p>
      <w:pPr>
        <w:spacing w:after="80" w:line="252" w:lineRule="auto"/>
        <w:ind w:firstLine="259"/>
      </w:pPr>
      <w:r>
        <w:rPr>
          <w:rFonts w:ascii="Times New Roman" w:hAnsi="Times New Roman"/>
          <w:sz w:val="19"/>
        </w:rPr>
        <w:t>The proposed system follows a pipeline architecture comprising data pre-processing, object detection, RoI patch extraction, fine-grained classification, and an interactive web inference deployment.</w:t>
      </w:r>
    </w:p>
    <w:p>
      <w:pPr>
        <w:keepNext/>
        <w:spacing w:before="160" w:after="40"/>
      </w:pPr>
      <w:r>
        <w:rPr>
          <w:rFonts w:ascii="Times New Roman" w:hAnsi="Times New Roman"/>
          <w:i/>
          <w:sz w:val="19"/>
        </w:rPr>
        <w:t>A. Stage 1: YOLO11n Bounding Box Detector</w:t>
      </w:r>
    </w:p>
    <w:p>
      <w:pPr>
        <w:spacing w:after="80" w:line="252" w:lineRule="auto"/>
        <w:ind w:firstLine="259"/>
      </w:pPr>
      <w:r>
        <w:rPr>
          <w:rFonts w:ascii="Times New Roman" w:hAnsi="Times New Roman"/>
          <w:sz w:val="19"/>
        </w:rPr>
        <w:t>YOLO11 represents the state-of-the-art in real-time object detection from Ultralytics, incorporating enhanced C3k2 building blocks and SPPF (Spatial Pyramid Pooling - Fast) modules for multi-scale feature aggregation. We utilize the nano variant (YOLO11n, 2.58 million parameters) to ensure real-time responsiveness even on resource-constrained CPU environments.</w:t>
      </w:r>
    </w:p>
    <w:p>
      <w:pPr>
        <w:spacing w:after="80" w:line="252" w:lineRule="auto"/>
        <w:ind w:firstLine="259"/>
      </w:pPr>
      <w:r>
        <w:rPr>
          <w:rFonts w:ascii="Times New Roman" w:hAnsi="Times New Roman"/>
          <w:sz w:val="19"/>
        </w:rPr>
        <w:t>The detector is tasked with predicting the 2D bounding box coordinates [x1, y1, x2, y2] for each coffee bean on the tray. Given an input image I of dimensions W x H, the detector outputs N candidate detections, each defined by bounding coordinates B_i and localization confidence c_i.</w:t>
      </w:r>
    </w:p>
    <w:p>
      <w:pPr>
        <w:keepNext/>
        <w:spacing w:before="160" w:after="40"/>
      </w:pPr>
      <w:r>
        <w:rPr>
          <w:rFonts w:ascii="Times New Roman" w:hAnsi="Times New Roman"/>
          <w:i/>
          <w:sz w:val="19"/>
        </w:rPr>
        <w:t>B. Stage 2: RoI Extraction and EfficientNet-B0 Classification</w:t>
      </w:r>
    </w:p>
    <w:p>
      <w:pPr>
        <w:spacing w:after="80" w:line="252" w:lineRule="auto"/>
        <w:ind w:firstLine="259"/>
      </w:pPr>
      <w:r>
        <w:rPr>
          <w:rFonts w:ascii="Times New Roman" w:hAnsi="Times New Roman"/>
          <w:sz w:val="19"/>
        </w:rPr>
        <w:t>For each detected bounding box B_i, the region-of-interest patch P_i is cropped directly from the original uncompressed image tensor: P_i = I[y1:y2, x1:x2]. This preserves the maximum optical resolution and microscopic surface texture of the bean.</w:t>
      </w:r>
    </w:p>
    <w:p>
      <w:pPr>
        <w:spacing w:after="80" w:line="252" w:lineRule="auto"/>
        <w:ind w:firstLine="259"/>
      </w:pPr>
      <w:r>
        <w:rPr>
          <w:rFonts w:ascii="Times New Roman" w:hAnsi="Times New Roman"/>
          <w:sz w:val="19"/>
        </w:rPr>
        <w:t>EfficientNet-B0 utilizes compound coefficient scaling to uniformly scale network depth, width, and resolution with fixed scaling factors: depth d = alpha^phi, width w = beta^phi, and resolution r = gamma^phi, subject to alpha * beta^2 * gamma^2 approx 2 [7]. Each patch P_i is resized to 224x224 pixels, normalized using standard ImageNet parameters (mean=[0.485, 0.456, 0.406], std=[0.229, 0.224, 0.225]), and processed through the fine-tuned classifier head.</w:t>
      </w:r>
    </w:p>
    <w:p>
      <w:pPr>
        <w:keepNext/>
        <w:spacing w:before="160" w:after="40"/>
      </w:pPr>
      <w:r>
        <w:rPr>
          <w:rFonts w:ascii="Times New Roman" w:hAnsi="Times New Roman"/>
          <w:i/>
          <w:sz w:val="19"/>
        </w:rPr>
        <w:t>C. Decoupled Taxonomy Alignment</w:t>
      </w:r>
    </w:p>
    <w:p>
      <w:pPr>
        <w:spacing w:after="80" w:line="252" w:lineRule="auto"/>
        <w:ind w:firstLine="259"/>
      </w:pPr>
      <w:r>
        <w:rPr>
          <w:rFonts w:ascii="Times New Roman" w:hAnsi="Times New Roman"/>
          <w:sz w:val="19"/>
        </w:rPr>
        <w:t>A critical challenge in industrial datasets is taxonomy divergence between detection annotations and classification benchmarks. The detection dataset labels foreign matter as LIGHTFM and HEAVYFM under class ID 8 (LIGHTFM_HEAVYFM), whereas standard classification benchmarks maintain a distinct category MIXED. Rather than forcing an arbitrary or lossy remapping, our hybrid pipeline preserves both outputs: the API reports the raw detector class, the classifier class, and independent confidence scores, ensuring complete auditability for industrial quality control.</w:t>
      </w:r>
    </w:p>
    <w:p>
      <w:pPr>
        <w:keepNext/>
        <w:spacing w:before="240" w:after="80"/>
      </w:pPr>
      <w:r>
        <w:rPr>
          <w:rFonts w:ascii="Times New Roman" w:hAnsi="Times New Roman"/>
          <w:b/>
          <w:sz w:val="20"/>
        </w:rPr>
        <w:t>IV. DATASET INTEGRITY &amp; EXPERIMENTS</w:t>
      </w:r>
    </w:p>
    <w:p>
      <w:pPr>
        <w:spacing w:after="80" w:line="252" w:lineRule="auto"/>
        <w:ind w:firstLine="259"/>
      </w:pPr>
      <w:r>
        <w:rPr>
          <w:rFonts w:ascii="Times New Roman" w:hAnsi="Times New Roman"/>
          <w:sz w:val="19"/>
        </w:rPr>
        <w:t>Experiments were conducted using the benchmark DataCoffee dataset comprising high-resolution plate photographs. A rigorous pre-training audit was conducted to resolve historical annotation discrepancies.</w:t>
      </w:r>
    </w:p>
    <w:p>
      <w:pPr>
        <w:spacing w:before="120" w:after="40"/>
        <w:jc w:val="center"/>
      </w:pPr>
      <w:r>
        <w:rPr>
          <w:rFonts w:ascii="Times New Roman" w:hAnsi="Times New Roman"/>
          <w:b/>
          <w:sz w:val="17"/>
        </w:rPr>
        <w:t>TABLE I.   VERIFIED DATASET PARTITIONS AND DEFECT CATEGORIES</w:t>
      </w:r>
    </w:p>
    <w:tbl>
      <w:tblPr>
        <w:tblW w:type="auto" w:w="0"/>
        <w:jc w:val="center"/>
        <w:tblLayout w:type="fixed"/>
        <w:tblLook w:firstColumn="1" w:firstRow="1" w:lastColumn="0" w:lastRow="0" w:noHBand="0" w:noVBand="1" w:val="04A0"/>
      </w:tblPr>
      <w:tblGrid>
        <w:gridCol w:w="2531"/>
        <w:gridCol w:w="2531"/>
        <w:gridCol w:w="2531"/>
        <w:gridCol w:w="2531"/>
      </w:tblGrid>
      <w:tr>
        <w:tc>
          <w:tcPr>
            <w:tcW w:type="dxa" w:w="2531"/>
            <w:shd w:fill="EAEAEA"/>
            <w:tcMar>
              <w:top w:w="60" w:type="dxa"/>
              <w:bottom w:w="60" w:type="dxa"/>
              <w:left w:w="80" w:type="dxa"/>
              <w:right w:w="80" w:type="dxa"/>
            </w:tcMar>
          </w:tcPr>
          <w:p>
            <w:pPr>
              <w:jc w:val="center"/>
            </w:pPr>
            <w:r>
              <w:rPr>
                <w:rFonts w:ascii="Times New Roman" w:hAnsi="Times New Roman"/>
                <w:b/>
                <w:sz w:val="16"/>
              </w:rPr>
              <w:t>Class ID</w:t>
            </w:r>
          </w:p>
        </w:tc>
        <w:tc>
          <w:tcPr>
            <w:tcW w:type="dxa" w:w="2531"/>
            <w:shd w:fill="EAEAEA"/>
            <w:tcMar>
              <w:top w:w="60" w:type="dxa"/>
              <w:bottom w:w="60" w:type="dxa"/>
              <w:left w:w="80" w:type="dxa"/>
              <w:right w:w="80" w:type="dxa"/>
            </w:tcMar>
          </w:tcPr>
          <w:p>
            <w:pPr>
              <w:jc w:val="center"/>
            </w:pPr>
            <w:r>
              <w:rPr>
                <w:rFonts w:ascii="Times New Roman" w:hAnsi="Times New Roman"/>
                <w:b/>
                <w:sz w:val="16"/>
              </w:rPr>
              <w:t>Defect Category</w:t>
            </w:r>
          </w:p>
        </w:tc>
        <w:tc>
          <w:tcPr>
            <w:tcW w:type="dxa" w:w="2531"/>
            <w:shd w:fill="EAEAEA"/>
            <w:tcMar>
              <w:top w:w="60" w:type="dxa"/>
              <w:bottom w:w="60" w:type="dxa"/>
              <w:left w:w="80" w:type="dxa"/>
              <w:right w:w="80" w:type="dxa"/>
            </w:tcMar>
          </w:tcPr>
          <w:p>
            <w:pPr>
              <w:jc w:val="center"/>
            </w:pPr>
            <w:r>
              <w:rPr>
                <w:rFonts w:ascii="Times New Roman" w:hAnsi="Times New Roman"/>
                <w:b/>
                <w:sz w:val="16"/>
              </w:rPr>
              <w:t>Train Instances</w:t>
            </w:r>
          </w:p>
        </w:tc>
        <w:tc>
          <w:tcPr>
            <w:tcW w:type="dxa" w:w="2531"/>
            <w:shd w:fill="EAEAEA"/>
            <w:tcMar>
              <w:top w:w="60" w:type="dxa"/>
              <w:bottom w:w="60" w:type="dxa"/>
              <w:left w:w="80" w:type="dxa"/>
              <w:right w:w="80" w:type="dxa"/>
            </w:tcMar>
          </w:tcPr>
          <w:p>
            <w:pPr>
              <w:jc w:val="center"/>
            </w:pPr>
            <w:r>
              <w:rPr>
                <w:rFonts w:ascii="Times New Roman" w:hAnsi="Times New Roman"/>
                <w:b/>
                <w:sz w:val="16"/>
              </w:rPr>
              <w:t>Valid Instances</w:t>
            </w:r>
          </w:p>
        </w:tc>
      </w:tr>
      <w:tr>
        <w:tc>
          <w:tcPr>
            <w:tcW w:type="dxa" w:w="2531"/>
            <w:tcMar>
              <w:top w:w="40" w:type="dxa"/>
              <w:bottom w:w="40" w:type="dxa"/>
              <w:left w:w="60" w:type="dxa"/>
              <w:right w:w="60" w:type="dxa"/>
            </w:tcMar>
          </w:tcPr>
          <w:p>
            <w:pPr>
              <w:jc w:val="center"/>
            </w:pPr>
            <w:r>
              <w:rPr>
                <w:rFonts w:ascii="Times New Roman" w:hAnsi="Times New Roman"/>
                <w:sz w:val="16"/>
              </w:rPr>
              <w:t>0</w:t>
            </w:r>
          </w:p>
        </w:tc>
        <w:tc>
          <w:tcPr>
            <w:tcW w:type="dxa" w:w="2531"/>
            <w:tcMar>
              <w:top w:w="40" w:type="dxa"/>
              <w:bottom w:w="40" w:type="dxa"/>
              <w:left w:w="60" w:type="dxa"/>
              <w:right w:w="60" w:type="dxa"/>
            </w:tcMar>
          </w:tcPr>
          <w:p>
            <w:pPr>
              <w:jc w:val="left"/>
            </w:pPr>
            <w:r>
              <w:rPr>
                <w:rFonts w:ascii="Times New Roman" w:hAnsi="Times New Roman"/>
                <w:sz w:val="16"/>
              </w:rPr>
              <w:t>BLACK</w:t>
            </w:r>
          </w:p>
        </w:tc>
        <w:tc>
          <w:tcPr>
            <w:tcW w:type="dxa" w:w="2531"/>
            <w:tcMar>
              <w:top w:w="40" w:type="dxa"/>
              <w:bottom w:w="40" w:type="dxa"/>
              <w:left w:w="60" w:type="dxa"/>
              <w:right w:w="60" w:type="dxa"/>
            </w:tcMar>
          </w:tcPr>
          <w:p>
            <w:pPr>
              <w:jc w:val="center"/>
            </w:pPr>
            <w:r>
              <w:rPr>
                <w:rFonts w:ascii="Times New Roman" w:hAnsi="Times New Roman"/>
                <w:sz w:val="16"/>
              </w:rPr>
              <w:t>10,845</w:t>
            </w:r>
          </w:p>
        </w:tc>
        <w:tc>
          <w:tcPr>
            <w:tcW w:type="dxa" w:w="2531"/>
            <w:tcMar>
              <w:top w:w="40" w:type="dxa"/>
              <w:bottom w:w="40" w:type="dxa"/>
              <w:left w:w="60" w:type="dxa"/>
              <w:right w:w="60" w:type="dxa"/>
            </w:tcMar>
          </w:tcPr>
          <w:p>
            <w:pPr>
              <w:jc w:val="center"/>
            </w:pPr>
            <w:r>
              <w:rPr>
                <w:rFonts w:ascii="Times New Roman" w:hAnsi="Times New Roman"/>
                <w:sz w:val="16"/>
              </w:rPr>
              <w:t>2,437</w:t>
            </w:r>
          </w:p>
        </w:tc>
      </w:tr>
      <w:tr>
        <w:tc>
          <w:tcPr>
            <w:tcW w:type="dxa" w:w="2531"/>
            <w:tcMar>
              <w:top w:w="40" w:type="dxa"/>
              <w:bottom w:w="40" w:type="dxa"/>
              <w:left w:w="60" w:type="dxa"/>
              <w:right w:w="60" w:type="dxa"/>
            </w:tcMar>
          </w:tcPr>
          <w:p>
            <w:pPr>
              <w:jc w:val="center"/>
            </w:pPr>
            <w:r>
              <w:rPr>
                <w:rFonts w:ascii="Times New Roman" w:hAnsi="Times New Roman"/>
                <w:sz w:val="16"/>
              </w:rPr>
              <w:t>1</w:t>
            </w:r>
          </w:p>
        </w:tc>
        <w:tc>
          <w:tcPr>
            <w:tcW w:type="dxa" w:w="2531"/>
            <w:tcMar>
              <w:top w:w="40" w:type="dxa"/>
              <w:bottom w:w="40" w:type="dxa"/>
              <w:left w:w="60" w:type="dxa"/>
              <w:right w:w="60" w:type="dxa"/>
            </w:tcMar>
          </w:tcPr>
          <w:p>
            <w:pPr>
              <w:jc w:val="left"/>
            </w:pPr>
            <w:r>
              <w:rPr>
                <w:rFonts w:ascii="Times New Roman" w:hAnsi="Times New Roman"/>
                <w:sz w:val="16"/>
              </w:rPr>
              <w:t>BROKEN</w:t>
            </w:r>
          </w:p>
        </w:tc>
        <w:tc>
          <w:tcPr>
            <w:tcW w:type="dxa" w:w="2531"/>
            <w:tcMar>
              <w:top w:w="40" w:type="dxa"/>
              <w:bottom w:w="40" w:type="dxa"/>
              <w:left w:w="60" w:type="dxa"/>
              <w:right w:w="60" w:type="dxa"/>
            </w:tcMar>
          </w:tcPr>
          <w:p>
            <w:pPr>
              <w:jc w:val="center"/>
            </w:pPr>
            <w:r>
              <w:rPr>
                <w:rFonts w:ascii="Times New Roman" w:hAnsi="Times New Roman"/>
                <w:sz w:val="16"/>
              </w:rPr>
              <w:t>6,892</w:t>
            </w:r>
          </w:p>
        </w:tc>
        <w:tc>
          <w:tcPr>
            <w:tcW w:type="dxa" w:w="2531"/>
            <w:tcMar>
              <w:top w:w="40" w:type="dxa"/>
              <w:bottom w:w="40" w:type="dxa"/>
              <w:left w:w="60" w:type="dxa"/>
              <w:right w:w="60" w:type="dxa"/>
            </w:tcMar>
          </w:tcPr>
          <w:p>
            <w:pPr>
              <w:jc w:val="center"/>
            </w:pPr>
            <w:r>
              <w:rPr>
                <w:rFonts w:ascii="Times New Roman" w:hAnsi="Times New Roman"/>
                <w:sz w:val="16"/>
              </w:rPr>
              <w:t>1,547</w:t>
            </w:r>
          </w:p>
        </w:tc>
      </w:tr>
      <w:tr>
        <w:tc>
          <w:tcPr>
            <w:tcW w:type="dxa" w:w="2531"/>
            <w:tcMar>
              <w:top w:w="40" w:type="dxa"/>
              <w:bottom w:w="40" w:type="dxa"/>
              <w:left w:w="60" w:type="dxa"/>
              <w:right w:w="60" w:type="dxa"/>
            </w:tcMar>
          </w:tcPr>
          <w:p>
            <w:pPr>
              <w:jc w:val="center"/>
            </w:pPr>
            <w:r>
              <w:rPr>
                <w:rFonts w:ascii="Times New Roman" w:hAnsi="Times New Roman"/>
                <w:sz w:val="16"/>
              </w:rPr>
              <w:t>2</w:t>
            </w:r>
          </w:p>
        </w:tc>
        <w:tc>
          <w:tcPr>
            <w:tcW w:type="dxa" w:w="2531"/>
            <w:tcMar>
              <w:top w:w="40" w:type="dxa"/>
              <w:bottom w:w="40" w:type="dxa"/>
              <w:left w:w="60" w:type="dxa"/>
              <w:right w:w="60" w:type="dxa"/>
            </w:tcMar>
          </w:tcPr>
          <w:p>
            <w:pPr>
              <w:jc w:val="left"/>
            </w:pPr>
            <w:r>
              <w:rPr>
                <w:rFonts w:ascii="Times New Roman" w:hAnsi="Times New Roman"/>
                <w:sz w:val="16"/>
              </w:rPr>
              <w:t>BROWN</w:t>
            </w:r>
          </w:p>
        </w:tc>
        <w:tc>
          <w:tcPr>
            <w:tcW w:type="dxa" w:w="2531"/>
            <w:tcMar>
              <w:top w:w="40" w:type="dxa"/>
              <w:bottom w:w="40" w:type="dxa"/>
              <w:left w:w="60" w:type="dxa"/>
              <w:right w:w="60" w:type="dxa"/>
            </w:tcMar>
          </w:tcPr>
          <w:p>
            <w:pPr>
              <w:jc w:val="center"/>
            </w:pPr>
            <w:r>
              <w:rPr>
                <w:rFonts w:ascii="Times New Roman" w:hAnsi="Times New Roman"/>
                <w:sz w:val="16"/>
              </w:rPr>
              <w:t>4,120</w:t>
            </w:r>
          </w:p>
        </w:tc>
        <w:tc>
          <w:tcPr>
            <w:tcW w:type="dxa" w:w="2531"/>
            <w:tcMar>
              <w:top w:w="40" w:type="dxa"/>
              <w:bottom w:w="40" w:type="dxa"/>
              <w:left w:w="60" w:type="dxa"/>
              <w:right w:w="60" w:type="dxa"/>
            </w:tcMar>
          </w:tcPr>
          <w:p>
            <w:pPr>
              <w:jc w:val="center"/>
            </w:pPr>
            <w:r>
              <w:rPr>
                <w:rFonts w:ascii="Times New Roman" w:hAnsi="Times New Roman"/>
                <w:sz w:val="16"/>
              </w:rPr>
              <w:t>911</w:t>
            </w:r>
          </w:p>
        </w:tc>
      </w:tr>
      <w:tr>
        <w:tc>
          <w:tcPr>
            <w:tcW w:type="dxa" w:w="2531"/>
            <w:tcMar>
              <w:top w:w="40" w:type="dxa"/>
              <w:bottom w:w="40" w:type="dxa"/>
              <w:left w:w="60" w:type="dxa"/>
              <w:right w:w="60" w:type="dxa"/>
            </w:tcMar>
          </w:tcPr>
          <w:p>
            <w:pPr>
              <w:jc w:val="center"/>
            </w:pPr>
            <w:r>
              <w:rPr>
                <w:rFonts w:ascii="Times New Roman" w:hAnsi="Times New Roman"/>
                <w:sz w:val="16"/>
              </w:rPr>
              <w:t>3</w:t>
            </w:r>
          </w:p>
        </w:tc>
        <w:tc>
          <w:tcPr>
            <w:tcW w:type="dxa" w:w="2531"/>
            <w:tcMar>
              <w:top w:w="40" w:type="dxa"/>
              <w:bottom w:w="40" w:type="dxa"/>
              <w:left w:w="60" w:type="dxa"/>
              <w:right w:w="60" w:type="dxa"/>
            </w:tcMar>
          </w:tcPr>
          <w:p>
            <w:pPr>
              <w:jc w:val="left"/>
            </w:pPr>
            <w:r>
              <w:rPr>
                <w:rFonts w:ascii="Times New Roman" w:hAnsi="Times New Roman"/>
                <w:sz w:val="16"/>
              </w:rPr>
              <w:t>BigBroken</w:t>
            </w:r>
          </w:p>
        </w:tc>
        <w:tc>
          <w:tcPr>
            <w:tcW w:type="dxa" w:w="2531"/>
            <w:tcMar>
              <w:top w:w="40" w:type="dxa"/>
              <w:bottom w:w="40" w:type="dxa"/>
              <w:left w:w="60" w:type="dxa"/>
              <w:right w:w="60" w:type="dxa"/>
            </w:tcMar>
          </w:tcPr>
          <w:p>
            <w:pPr>
              <w:jc w:val="center"/>
            </w:pPr>
            <w:r>
              <w:rPr>
                <w:rFonts w:ascii="Times New Roman" w:hAnsi="Times New Roman"/>
                <w:sz w:val="16"/>
              </w:rPr>
              <w:t>8,754</w:t>
            </w:r>
          </w:p>
        </w:tc>
        <w:tc>
          <w:tcPr>
            <w:tcW w:type="dxa" w:w="2531"/>
            <w:tcMar>
              <w:top w:w="40" w:type="dxa"/>
              <w:bottom w:w="40" w:type="dxa"/>
              <w:left w:w="60" w:type="dxa"/>
              <w:right w:w="60" w:type="dxa"/>
            </w:tcMar>
          </w:tcPr>
          <w:p>
            <w:pPr>
              <w:jc w:val="center"/>
            </w:pPr>
            <w:r>
              <w:rPr>
                <w:rFonts w:ascii="Times New Roman" w:hAnsi="Times New Roman"/>
                <w:sz w:val="16"/>
              </w:rPr>
              <w:t>1,933</w:t>
            </w:r>
          </w:p>
        </w:tc>
      </w:tr>
      <w:tr>
        <w:tc>
          <w:tcPr>
            <w:tcW w:type="dxa" w:w="2531"/>
            <w:tcMar>
              <w:top w:w="40" w:type="dxa"/>
              <w:bottom w:w="40" w:type="dxa"/>
              <w:left w:w="60" w:type="dxa"/>
              <w:right w:w="60" w:type="dxa"/>
            </w:tcMar>
          </w:tcPr>
          <w:p>
            <w:pPr>
              <w:jc w:val="center"/>
            </w:pPr>
            <w:r>
              <w:rPr>
                <w:rFonts w:ascii="Times New Roman" w:hAnsi="Times New Roman"/>
                <w:sz w:val="16"/>
              </w:rPr>
              <w:t>4</w:t>
            </w:r>
          </w:p>
        </w:tc>
        <w:tc>
          <w:tcPr>
            <w:tcW w:type="dxa" w:w="2531"/>
            <w:tcMar>
              <w:top w:w="40" w:type="dxa"/>
              <w:bottom w:w="40" w:type="dxa"/>
              <w:left w:w="60" w:type="dxa"/>
              <w:right w:w="60" w:type="dxa"/>
            </w:tcMar>
          </w:tcPr>
          <w:p>
            <w:pPr>
              <w:jc w:val="left"/>
            </w:pPr>
            <w:r>
              <w:rPr>
                <w:rFonts w:ascii="Times New Roman" w:hAnsi="Times New Roman"/>
                <w:sz w:val="16"/>
              </w:rPr>
              <w:t>IMMATURE</w:t>
            </w:r>
          </w:p>
        </w:tc>
        <w:tc>
          <w:tcPr>
            <w:tcW w:type="dxa" w:w="2531"/>
            <w:tcMar>
              <w:top w:w="40" w:type="dxa"/>
              <w:bottom w:w="40" w:type="dxa"/>
              <w:left w:w="60" w:type="dxa"/>
              <w:right w:w="60" w:type="dxa"/>
            </w:tcMar>
          </w:tcPr>
          <w:p>
            <w:pPr>
              <w:jc w:val="center"/>
            </w:pPr>
            <w:r>
              <w:rPr>
                <w:rFonts w:ascii="Times New Roman" w:hAnsi="Times New Roman"/>
                <w:sz w:val="16"/>
              </w:rPr>
              <w:t>1,240</w:t>
            </w:r>
          </w:p>
        </w:tc>
        <w:tc>
          <w:tcPr>
            <w:tcW w:type="dxa" w:w="2531"/>
            <w:tcMar>
              <w:top w:w="40" w:type="dxa"/>
              <w:bottom w:w="40" w:type="dxa"/>
              <w:left w:w="60" w:type="dxa"/>
              <w:right w:w="60" w:type="dxa"/>
            </w:tcMar>
          </w:tcPr>
          <w:p>
            <w:pPr>
              <w:jc w:val="center"/>
            </w:pPr>
            <w:r>
              <w:rPr>
                <w:rFonts w:ascii="Times New Roman" w:hAnsi="Times New Roman"/>
                <w:sz w:val="16"/>
              </w:rPr>
              <w:t>277</w:t>
            </w:r>
          </w:p>
        </w:tc>
      </w:tr>
      <w:tr>
        <w:tc>
          <w:tcPr>
            <w:tcW w:type="dxa" w:w="2531"/>
            <w:tcMar>
              <w:top w:w="40" w:type="dxa"/>
              <w:bottom w:w="40" w:type="dxa"/>
              <w:left w:w="60" w:type="dxa"/>
              <w:right w:w="60" w:type="dxa"/>
            </w:tcMar>
          </w:tcPr>
          <w:p>
            <w:pPr>
              <w:jc w:val="center"/>
            </w:pPr>
            <w:r>
              <w:rPr>
                <w:rFonts w:ascii="Times New Roman" w:hAnsi="Times New Roman"/>
                <w:sz w:val="16"/>
              </w:rPr>
              <w:t>5</w:t>
            </w:r>
          </w:p>
        </w:tc>
        <w:tc>
          <w:tcPr>
            <w:tcW w:type="dxa" w:w="2531"/>
            <w:tcMar>
              <w:top w:w="40" w:type="dxa"/>
              <w:bottom w:w="40" w:type="dxa"/>
              <w:left w:w="60" w:type="dxa"/>
              <w:right w:w="60" w:type="dxa"/>
            </w:tcMar>
          </w:tcPr>
          <w:p>
            <w:pPr>
              <w:jc w:val="left"/>
            </w:pPr>
            <w:r>
              <w:rPr>
                <w:rFonts w:ascii="Times New Roman" w:hAnsi="Times New Roman"/>
                <w:sz w:val="16"/>
              </w:rPr>
              <w:t>INSECT</w:t>
            </w:r>
          </w:p>
        </w:tc>
        <w:tc>
          <w:tcPr>
            <w:tcW w:type="dxa" w:w="2531"/>
            <w:tcMar>
              <w:top w:w="40" w:type="dxa"/>
              <w:bottom w:w="40" w:type="dxa"/>
              <w:left w:w="60" w:type="dxa"/>
              <w:right w:w="60" w:type="dxa"/>
            </w:tcMar>
          </w:tcPr>
          <w:p>
            <w:pPr>
              <w:jc w:val="center"/>
            </w:pPr>
            <w:r>
              <w:rPr>
                <w:rFonts w:ascii="Times New Roman" w:hAnsi="Times New Roman"/>
                <w:sz w:val="16"/>
              </w:rPr>
              <w:t>6,710</w:t>
            </w:r>
          </w:p>
        </w:tc>
        <w:tc>
          <w:tcPr>
            <w:tcW w:type="dxa" w:w="2531"/>
            <w:tcMar>
              <w:top w:w="40" w:type="dxa"/>
              <w:bottom w:w="40" w:type="dxa"/>
              <w:left w:w="60" w:type="dxa"/>
              <w:right w:w="60" w:type="dxa"/>
            </w:tcMar>
          </w:tcPr>
          <w:p>
            <w:pPr>
              <w:jc w:val="center"/>
            </w:pPr>
            <w:r>
              <w:rPr>
                <w:rFonts w:ascii="Times New Roman" w:hAnsi="Times New Roman"/>
                <w:sz w:val="16"/>
              </w:rPr>
              <w:t>1,491</w:t>
            </w:r>
          </w:p>
        </w:tc>
      </w:tr>
      <w:tr>
        <w:tc>
          <w:tcPr>
            <w:tcW w:type="dxa" w:w="2531"/>
            <w:tcMar>
              <w:top w:w="40" w:type="dxa"/>
              <w:bottom w:w="40" w:type="dxa"/>
              <w:left w:w="60" w:type="dxa"/>
              <w:right w:w="60" w:type="dxa"/>
            </w:tcMar>
          </w:tcPr>
          <w:p>
            <w:pPr>
              <w:jc w:val="center"/>
            </w:pPr>
            <w:r>
              <w:rPr>
                <w:rFonts w:ascii="Times New Roman" w:hAnsi="Times New Roman"/>
                <w:sz w:val="16"/>
              </w:rPr>
              <w:t>6</w:t>
            </w:r>
          </w:p>
        </w:tc>
        <w:tc>
          <w:tcPr>
            <w:tcW w:type="dxa" w:w="2531"/>
            <w:tcMar>
              <w:top w:w="40" w:type="dxa"/>
              <w:bottom w:w="40" w:type="dxa"/>
              <w:left w:w="60" w:type="dxa"/>
              <w:right w:w="60" w:type="dxa"/>
            </w:tcMar>
          </w:tcPr>
          <w:p>
            <w:pPr>
              <w:jc w:val="left"/>
            </w:pPr>
            <w:r>
              <w:rPr>
                <w:rFonts w:ascii="Times New Roman" w:hAnsi="Times New Roman"/>
                <w:sz w:val="16"/>
              </w:rPr>
              <w:t>MOLD</w:t>
            </w:r>
          </w:p>
        </w:tc>
        <w:tc>
          <w:tcPr>
            <w:tcW w:type="dxa" w:w="2531"/>
            <w:tcMar>
              <w:top w:w="40" w:type="dxa"/>
              <w:bottom w:w="40" w:type="dxa"/>
              <w:left w:w="60" w:type="dxa"/>
              <w:right w:w="60" w:type="dxa"/>
            </w:tcMar>
          </w:tcPr>
          <w:p>
            <w:pPr>
              <w:jc w:val="center"/>
            </w:pPr>
            <w:r>
              <w:rPr>
                <w:rFonts w:ascii="Times New Roman" w:hAnsi="Times New Roman"/>
                <w:sz w:val="16"/>
              </w:rPr>
              <w:t>9,820</w:t>
            </w:r>
          </w:p>
        </w:tc>
        <w:tc>
          <w:tcPr>
            <w:tcW w:type="dxa" w:w="2531"/>
            <w:tcMar>
              <w:top w:w="40" w:type="dxa"/>
              <w:bottom w:w="40" w:type="dxa"/>
              <w:left w:w="60" w:type="dxa"/>
              <w:right w:w="60" w:type="dxa"/>
            </w:tcMar>
          </w:tcPr>
          <w:p>
            <w:pPr>
              <w:jc w:val="center"/>
            </w:pPr>
            <w:r>
              <w:rPr>
                <w:rFonts w:ascii="Times New Roman" w:hAnsi="Times New Roman"/>
                <w:sz w:val="16"/>
              </w:rPr>
              <w:t>2,193</w:t>
            </w:r>
          </w:p>
        </w:tc>
      </w:tr>
      <w:tr>
        <w:tc>
          <w:tcPr>
            <w:tcW w:type="dxa" w:w="2531"/>
            <w:tcMar>
              <w:top w:w="40" w:type="dxa"/>
              <w:bottom w:w="40" w:type="dxa"/>
              <w:left w:w="60" w:type="dxa"/>
              <w:right w:w="60" w:type="dxa"/>
            </w:tcMar>
          </w:tcPr>
          <w:p>
            <w:pPr>
              <w:jc w:val="center"/>
            </w:pPr>
            <w:r>
              <w:rPr>
                <w:rFonts w:ascii="Times New Roman" w:hAnsi="Times New Roman"/>
                <w:sz w:val="16"/>
              </w:rPr>
              <w:t>7</w:t>
            </w:r>
          </w:p>
        </w:tc>
        <w:tc>
          <w:tcPr>
            <w:tcW w:type="dxa" w:w="2531"/>
            <w:tcMar>
              <w:top w:w="40" w:type="dxa"/>
              <w:bottom w:w="40" w:type="dxa"/>
              <w:left w:w="60" w:type="dxa"/>
              <w:right w:w="60" w:type="dxa"/>
            </w:tcMar>
          </w:tcPr>
          <w:p>
            <w:pPr>
              <w:jc w:val="left"/>
            </w:pPr>
            <w:r>
              <w:rPr>
                <w:rFonts w:ascii="Times New Roman" w:hAnsi="Times New Roman"/>
                <w:sz w:val="16"/>
              </w:rPr>
              <w:t>PartlyBlack</w:t>
            </w:r>
          </w:p>
        </w:tc>
        <w:tc>
          <w:tcPr>
            <w:tcW w:type="dxa" w:w="2531"/>
            <w:tcMar>
              <w:top w:w="40" w:type="dxa"/>
              <w:bottom w:w="40" w:type="dxa"/>
              <w:left w:w="60" w:type="dxa"/>
              <w:right w:w="60" w:type="dxa"/>
            </w:tcMar>
          </w:tcPr>
          <w:p>
            <w:pPr>
              <w:jc w:val="center"/>
            </w:pPr>
            <w:r>
              <w:rPr>
                <w:rFonts w:ascii="Times New Roman" w:hAnsi="Times New Roman"/>
                <w:sz w:val="16"/>
              </w:rPr>
              <w:t>5,320</w:t>
            </w:r>
          </w:p>
        </w:tc>
        <w:tc>
          <w:tcPr>
            <w:tcW w:type="dxa" w:w="2531"/>
            <w:tcMar>
              <w:top w:w="40" w:type="dxa"/>
              <w:bottom w:w="40" w:type="dxa"/>
              <w:left w:w="60" w:type="dxa"/>
              <w:right w:w="60" w:type="dxa"/>
            </w:tcMar>
          </w:tcPr>
          <w:p>
            <w:pPr>
              <w:jc w:val="center"/>
            </w:pPr>
            <w:r>
              <w:rPr>
                <w:rFonts w:ascii="Times New Roman" w:hAnsi="Times New Roman"/>
                <w:sz w:val="16"/>
              </w:rPr>
              <w:t>1,196</w:t>
            </w:r>
          </w:p>
        </w:tc>
      </w:tr>
      <w:tr>
        <w:tc>
          <w:tcPr>
            <w:tcW w:type="dxa" w:w="2531"/>
            <w:tcMar>
              <w:top w:w="40" w:type="dxa"/>
              <w:bottom w:w="40" w:type="dxa"/>
              <w:left w:w="60" w:type="dxa"/>
              <w:right w:w="60" w:type="dxa"/>
            </w:tcMar>
          </w:tcPr>
          <w:p>
            <w:pPr>
              <w:jc w:val="center"/>
            </w:pPr>
            <w:r>
              <w:rPr>
                <w:rFonts w:ascii="Times New Roman" w:hAnsi="Times New Roman"/>
                <w:sz w:val="16"/>
              </w:rPr>
              <w:t>8</w:t>
            </w:r>
          </w:p>
        </w:tc>
        <w:tc>
          <w:tcPr>
            <w:tcW w:type="dxa" w:w="2531"/>
            <w:tcMar>
              <w:top w:w="40" w:type="dxa"/>
              <w:bottom w:w="40" w:type="dxa"/>
              <w:left w:w="60" w:type="dxa"/>
              <w:right w:w="60" w:type="dxa"/>
            </w:tcMar>
          </w:tcPr>
          <w:p>
            <w:pPr>
              <w:jc w:val="left"/>
            </w:pPr>
            <w:r>
              <w:rPr>
                <w:rFonts w:ascii="Times New Roman" w:hAnsi="Times New Roman"/>
                <w:sz w:val="16"/>
              </w:rPr>
              <w:t>LIGHTFM_HEAVYFM</w:t>
            </w:r>
          </w:p>
        </w:tc>
        <w:tc>
          <w:tcPr>
            <w:tcW w:type="dxa" w:w="2531"/>
            <w:tcMar>
              <w:top w:w="40" w:type="dxa"/>
              <w:bottom w:w="40" w:type="dxa"/>
              <w:left w:w="60" w:type="dxa"/>
              <w:right w:w="60" w:type="dxa"/>
            </w:tcMar>
          </w:tcPr>
          <w:p>
            <w:pPr>
              <w:jc w:val="center"/>
            </w:pPr>
            <w:r>
              <w:rPr>
                <w:rFonts w:ascii="Times New Roman" w:hAnsi="Times New Roman"/>
                <w:sz w:val="16"/>
              </w:rPr>
              <w:t>12,820</w:t>
            </w:r>
          </w:p>
        </w:tc>
        <w:tc>
          <w:tcPr>
            <w:tcW w:type="dxa" w:w="2531"/>
            <w:tcMar>
              <w:top w:w="40" w:type="dxa"/>
              <w:bottom w:w="40" w:type="dxa"/>
              <w:left w:w="60" w:type="dxa"/>
              <w:right w:w="60" w:type="dxa"/>
            </w:tcMar>
          </w:tcPr>
          <w:p>
            <w:pPr>
              <w:jc w:val="center"/>
            </w:pPr>
            <w:r>
              <w:rPr>
                <w:rFonts w:ascii="Times New Roman" w:hAnsi="Times New Roman"/>
                <w:sz w:val="16"/>
              </w:rPr>
              <w:t>2,749</w:t>
            </w:r>
          </w:p>
        </w:tc>
      </w:tr>
    </w:tbl>
    <w:p>
      <w:pPr>
        <w:spacing w:after="80" w:line="252" w:lineRule="auto"/>
        <w:ind w:firstLine="259"/>
      </w:pPr>
      <w:r>
        <w:rPr>
          <w:rFonts w:ascii="Times New Roman" w:hAnsi="Times New Roman"/>
          <w:sz w:val="19"/>
        </w:rPr>
        <w:t>During verification, an archive packaging anomaly was resolved wherein 166 annotation files were misplaced across splits. After restoring exact 1:1 image-to-annotation pairing, all 948 training images and 211 validation images were reconciled with zero data leakage.</w:t>
      </w:r>
    </w:p>
    <w:p>
      <w:pPr>
        <w:keepNext/>
        <w:spacing w:before="240" w:after="80"/>
      </w:pPr>
      <w:r>
        <w:rPr>
          <w:rFonts w:ascii="Times New Roman" w:hAnsi="Times New Roman"/>
          <w:b/>
          <w:sz w:val="20"/>
        </w:rPr>
        <w:t>V. RESULTS AND DISCUSSION</w:t>
      </w:r>
    </w:p>
    <w:p>
      <w:pPr>
        <w:spacing w:after="80" w:line="252" w:lineRule="auto"/>
        <w:ind w:firstLine="259"/>
      </w:pPr>
      <w:r>
        <w:rPr>
          <w:rFonts w:ascii="Times New Roman" w:hAnsi="Times New Roman"/>
          <w:sz w:val="19"/>
        </w:rPr>
        <w:t>Performance evaluation was conducted across both pipeline stages independently. The YOLO11n detector was evaluated using standard COCO-style metrics, while EfficientNet-B0 was assessed using top-1 classification accuracy and confusion matrices.</w:t>
      </w:r>
    </w:p>
    <w:p>
      <w:pPr>
        <w:spacing w:before="160" w:after="40"/>
        <w:jc w:val="center"/>
      </w:pPr>
      <w:r>
        <w:rPr>
          <w:rFonts w:ascii="Times New Roman" w:hAnsi="Times New Roman"/>
          <w:b/>
          <w:sz w:val="17"/>
        </w:rPr>
        <w:t>TABLE II.   STAGE 1 DETECTOR METRICS (YOLO11n, 211 VALIDATION IMAGES)</w:t>
      </w:r>
    </w:p>
    <w:tbl>
      <w:tblPr>
        <w:tblW w:type="auto" w:w="0"/>
        <w:jc w:val="center"/>
        <w:tblLayout w:type="fixed"/>
        <w:tblLook w:firstColumn="1" w:firstRow="1" w:lastColumn="0" w:lastRow="0" w:noHBand="0" w:noVBand="1" w:val="04A0"/>
      </w:tblPr>
      <w:tblGrid>
        <w:gridCol w:w="2025"/>
        <w:gridCol w:w="2025"/>
        <w:gridCol w:w="2025"/>
        <w:gridCol w:w="2025"/>
        <w:gridCol w:w="2025"/>
      </w:tblGrid>
      <w:tr>
        <w:tc>
          <w:tcPr>
            <w:tcW w:type="dxa" w:w="2025"/>
            <w:shd w:fill="EAEAEA"/>
            <w:tcMar>
              <w:top w:w="60" w:type="dxa"/>
              <w:bottom w:w="60" w:type="dxa"/>
              <w:left w:w="80" w:type="dxa"/>
              <w:right w:w="80" w:type="dxa"/>
            </w:tcMar>
          </w:tcPr>
          <w:p>
            <w:pPr>
              <w:jc w:val="center"/>
            </w:pPr>
            <w:r>
              <w:rPr>
                <w:rFonts w:ascii="Times New Roman" w:hAnsi="Times New Roman"/>
                <w:b/>
                <w:sz w:val="16"/>
              </w:rPr>
              <w:t>Category</w:t>
            </w:r>
          </w:p>
        </w:tc>
        <w:tc>
          <w:tcPr>
            <w:tcW w:type="dxa" w:w="2025"/>
            <w:shd w:fill="EAEAEA"/>
            <w:tcMar>
              <w:top w:w="60" w:type="dxa"/>
              <w:bottom w:w="60" w:type="dxa"/>
              <w:left w:w="80" w:type="dxa"/>
              <w:right w:w="80" w:type="dxa"/>
            </w:tcMar>
          </w:tcPr>
          <w:p>
            <w:pPr>
              <w:jc w:val="center"/>
            </w:pPr>
            <w:r>
              <w:rPr>
                <w:rFonts w:ascii="Times New Roman" w:hAnsi="Times New Roman"/>
                <w:b/>
                <w:sz w:val="16"/>
              </w:rPr>
              <w:t>Precision</w:t>
            </w:r>
          </w:p>
        </w:tc>
        <w:tc>
          <w:tcPr>
            <w:tcW w:type="dxa" w:w="2025"/>
            <w:shd w:fill="EAEAEA"/>
            <w:tcMar>
              <w:top w:w="60" w:type="dxa"/>
              <w:bottom w:w="60" w:type="dxa"/>
              <w:left w:w="80" w:type="dxa"/>
              <w:right w:w="80" w:type="dxa"/>
            </w:tcMar>
          </w:tcPr>
          <w:p>
            <w:pPr>
              <w:jc w:val="center"/>
            </w:pPr>
            <w:r>
              <w:rPr>
                <w:rFonts w:ascii="Times New Roman" w:hAnsi="Times New Roman"/>
                <w:b/>
                <w:sz w:val="16"/>
              </w:rPr>
              <w:t>Recall</w:t>
            </w:r>
          </w:p>
        </w:tc>
        <w:tc>
          <w:tcPr>
            <w:tcW w:type="dxa" w:w="2025"/>
            <w:shd w:fill="EAEAEA"/>
            <w:tcMar>
              <w:top w:w="60" w:type="dxa"/>
              <w:bottom w:w="60" w:type="dxa"/>
              <w:left w:w="80" w:type="dxa"/>
              <w:right w:w="80" w:type="dxa"/>
            </w:tcMar>
          </w:tcPr>
          <w:p>
            <w:pPr>
              <w:jc w:val="center"/>
            </w:pPr>
            <w:r>
              <w:rPr>
                <w:rFonts w:ascii="Times New Roman" w:hAnsi="Times New Roman"/>
                <w:b/>
                <w:sz w:val="16"/>
              </w:rPr>
              <w:t>mAP@50</w:t>
            </w:r>
          </w:p>
        </w:tc>
        <w:tc>
          <w:tcPr>
            <w:tcW w:type="dxa" w:w="2025"/>
            <w:shd w:fill="EAEAEA"/>
            <w:tcMar>
              <w:top w:w="60" w:type="dxa"/>
              <w:bottom w:w="60" w:type="dxa"/>
              <w:left w:w="80" w:type="dxa"/>
              <w:right w:w="80" w:type="dxa"/>
            </w:tcMar>
          </w:tcPr>
          <w:p>
            <w:pPr>
              <w:jc w:val="center"/>
            </w:pPr>
            <w:r>
              <w:rPr>
                <w:rFonts w:ascii="Times New Roman" w:hAnsi="Times New Roman"/>
                <w:b/>
                <w:sz w:val="16"/>
              </w:rPr>
              <w:t>mAP@50-95</w:t>
            </w:r>
          </w:p>
        </w:tc>
      </w:tr>
      <w:tr>
        <w:tc>
          <w:tcPr>
            <w:tcW w:type="dxa" w:w="2025"/>
            <w:tcMar>
              <w:top w:w="40" w:type="dxa"/>
              <w:bottom w:w="40" w:type="dxa"/>
              <w:left w:w="60" w:type="dxa"/>
              <w:right w:w="60" w:type="dxa"/>
            </w:tcMar>
          </w:tcPr>
          <w:p>
            <w:pPr>
              <w:jc w:val="left"/>
            </w:pPr>
            <w:r>
              <w:rPr>
                <w:rFonts w:ascii="Times New Roman" w:hAnsi="Times New Roman"/>
                <w:sz w:val="16"/>
              </w:rPr>
              <w:t>LIGHTFM_HEAVYFM</w:t>
            </w:r>
          </w:p>
        </w:tc>
        <w:tc>
          <w:tcPr>
            <w:tcW w:type="dxa" w:w="2025"/>
            <w:tcMar>
              <w:top w:w="40" w:type="dxa"/>
              <w:bottom w:w="40" w:type="dxa"/>
              <w:left w:w="60" w:type="dxa"/>
              <w:right w:w="60" w:type="dxa"/>
            </w:tcMar>
          </w:tcPr>
          <w:p>
            <w:pPr>
              <w:jc w:val="center"/>
            </w:pPr>
            <w:r>
              <w:rPr>
                <w:rFonts w:ascii="Times New Roman" w:hAnsi="Times New Roman"/>
                <w:sz w:val="16"/>
              </w:rPr>
              <w:t>0.9146</w:t>
            </w:r>
          </w:p>
        </w:tc>
        <w:tc>
          <w:tcPr>
            <w:tcW w:type="dxa" w:w="2025"/>
            <w:tcMar>
              <w:top w:w="40" w:type="dxa"/>
              <w:bottom w:w="40" w:type="dxa"/>
              <w:left w:w="60" w:type="dxa"/>
              <w:right w:w="60" w:type="dxa"/>
            </w:tcMar>
          </w:tcPr>
          <w:p>
            <w:pPr>
              <w:jc w:val="center"/>
            </w:pPr>
            <w:r>
              <w:rPr>
                <w:rFonts w:ascii="Times New Roman" w:hAnsi="Times New Roman"/>
                <w:sz w:val="16"/>
              </w:rPr>
              <w:t>0.6388</w:t>
            </w:r>
          </w:p>
        </w:tc>
        <w:tc>
          <w:tcPr>
            <w:tcW w:type="dxa" w:w="2025"/>
            <w:tcMar>
              <w:top w:w="40" w:type="dxa"/>
              <w:bottom w:w="40" w:type="dxa"/>
              <w:left w:w="60" w:type="dxa"/>
              <w:right w:w="60" w:type="dxa"/>
            </w:tcMar>
          </w:tcPr>
          <w:p>
            <w:pPr>
              <w:jc w:val="center"/>
            </w:pPr>
            <w:r>
              <w:rPr>
                <w:rFonts w:ascii="Times New Roman" w:hAnsi="Times New Roman"/>
                <w:sz w:val="16"/>
              </w:rPr>
              <w:t>0.6254</w:t>
            </w:r>
          </w:p>
        </w:tc>
        <w:tc>
          <w:tcPr>
            <w:tcW w:type="dxa" w:w="2025"/>
            <w:tcMar>
              <w:top w:w="40" w:type="dxa"/>
              <w:bottom w:w="40" w:type="dxa"/>
              <w:left w:w="60" w:type="dxa"/>
              <w:right w:w="60" w:type="dxa"/>
            </w:tcMar>
          </w:tcPr>
          <w:p>
            <w:pPr>
              <w:jc w:val="center"/>
            </w:pPr>
            <w:r>
              <w:rPr>
                <w:rFonts w:ascii="Times New Roman" w:hAnsi="Times New Roman"/>
                <w:sz w:val="16"/>
              </w:rPr>
              <w:t>0.4455</w:t>
            </w:r>
          </w:p>
        </w:tc>
      </w:tr>
      <w:tr>
        <w:tc>
          <w:tcPr>
            <w:tcW w:type="dxa" w:w="2025"/>
            <w:tcMar>
              <w:top w:w="40" w:type="dxa"/>
              <w:bottom w:w="40" w:type="dxa"/>
              <w:left w:w="60" w:type="dxa"/>
              <w:right w:w="60" w:type="dxa"/>
            </w:tcMar>
          </w:tcPr>
          <w:p>
            <w:pPr>
              <w:jc w:val="left"/>
            </w:pPr>
            <w:r>
              <w:rPr>
                <w:rFonts w:ascii="Times New Roman" w:hAnsi="Times New Roman"/>
                <w:sz w:val="16"/>
              </w:rPr>
              <w:t>PartlyBlack</w:t>
            </w:r>
          </w:p>
        </w:tc>
        <w:tc>
          <w:tcPr>
            <w:tcW w:type="dxa" w:w="2025"/>
            <w:tcMar>
              <w:top w:w="40" w:type="dxa"/>
              <w:bottom w:w="40" w:type="dxa"/>
              <w:left w:w="60" w:type="dxa"/>
              <w:right w:w="60" w:type="dxa"/>
            </w:tcMar>
          </w:tcPr>
          <w:p>
            <w:pPr>
              <w:jc w:val="center"/>
            </w:pPr>
            <w:r>
              <w:rPr>
                <w:rFonts w:ascii="Times New Roman" w:hAnsi="Times New Roman"/>
                <w:sz w:val="16"/>
              </w:rPr>
              <w:t>0.6553</w:t>
            </w:r>
          </w:p>
        </w:tc>
        <w:tc>
          <w:tcPr>
            <w:tcW w:type="dxa" w:w="2025"/>
            <w:tcMar>
              <w:top w:w="40" w:type="dxa"/>
              <w:bottom w:w="40" w:type="dxa"/>
              <w:left w:w="60" w:type="dxa"/>
              <w:right w:w="60" w:type="dxa"/>
            </w:tcMar>
          </w:tcPr>
          <w:p>
            <w:pPr>
              <w:jc w:val="center"/>
            </w:pPr>
            <w:r>
              <w:rPr>
                <w:rFonts w:ascii="Times New Roman" w:hAnsi="Times New Roman"/>
                <w:sz w:val="16"/>
              </w:rPr>
              <w:t>0.3211</w:t>
            </w:r>
          </w:p>
        </w:tc>
        <w:tc>
          <w:tcPr>
            <w:tcW w:type="dxa" w:w="2025"/>
            <w:tcMar>
              <w:top w:w="40" w:type="dxa"/>
              <w:bottom w:w="40" w:type="dxa"/>
              <w:left w:w="60" w:type="dxa"/>
              <w:right w:w="60" w:type="dxa"/>
            </w:tcMar>
          </w:tcPr>
          <w:p>
            <w:pPr>
              <w:jc w:val="center"/>
            </w:pPr>
            <w:r>
              <w:rPr>
                <w:rFonts w:ascii="Times New Roman" w:hAnsi="Times New Roman"/>
                <w:sz w:val="16"/>
              </w:rPr>
              <w:t>0.2622</w:t>
            </w:r>
          </w:p>
        </w:tc>
        <w:tc>
          <w:tcPr>
            <w:tcW w:type="dxa" w:w="2025"/>
            <w:tcMar>
              <w:top w:w="40" w:type="dxa"/>
              <w:bottom w:w="40" w:type="dxa"/>
              <w:left w:w="60" w:type="dxa"/>
              <w:right w:w="60" w:type="dxa"/>
            </w:tcMar>
          </w:tcPr>
          <w:p>
            <w:pPr>
              <w:jc w:val="center"/>
            </w:pPr>
            <w:r>
              <w:rPr>
                <w:rFonts w:ascii="Times New Roman" w:hAnsi="Times New Roman"/>
                <w:sz w:val="16"/>
              </w:rPr>
              <w:t>0.2116</w:t>
            </w:r>
          </w:p>
        </w:tc>
      </w:tr>
      <w:tr>
        <w:tc>
          <w:tcPr>
            <w:tcW w:type="dxa" w:w="2025"/>
            <w:tcMar>
              <w:top w:w="40" w:type="dxa"/>
              <w:bottom w:w="40" w:type="dxa"/>
              <w:left w:w="60" w:type="dxa"/>
              <w:right w:w="60" w:type="dxa"/>
            </w:tcMar>
          </w:tcPr>
          <w:p>
            <w:pPr>
              <w:jc w:val="left"/>
            </w:pPr>
            <w:r>
              <w:rPr>
                <w:rFonts w:ascii="Times New Roman" w:hAnsi="Times New Roman"/>
                <w:sz w:val="16"/>
              </w:rPr>
              <w:t>BLACK</w:t>
            </w:r>
          </w:p>
        </w:tc>
        <w:tc>
          <w:tcPr>
            <w:tcW w:type="dxa" w:w="2025"/>
            <w:tcMar>
              <w:top w:w="40" w:type="dxa"/>
              <w:bottom w:w="40" w:type="dxa"/>
              <w:left w:w="60" w:type="dxa"/>
              <w:right w:w="60" w:type="dxa"/>
            </w:tcMar>
          </w:tcPr>
          <w:p>
            <w:pPr>
              <w:jc w:val="center"/>
            </w:pPr>
            <w:r>
              <w:rPr>
                <w:rFonts w:ascii="Times New Roman" w:hAnsi="Times New Roman"/>
                <w:sz w:val="16"/>
              </w:rPr>
              <w:t>0.7724</w:t>
            </w:r>
          </w:p>
        </w:tc>
        <w:tc>
          <w:tcPr>
            <w:tcW w:type="dxa" w:w="2025"/>
            <w:tcMar>
              <w:top w:w="40" w:type="dxa"/>
              <w:bottom w:w="40" w:type="dxa"/>
              <w:left w:w="60" w:type="dxa"/>
              <w:right w:w="60" w:type="dxa"/>
            </w:tcMar>
          </w:tcPr>
          <w:p>
            <w:pPr>
              <w:jc w:val="center"/>
            </w:pPr>
            <w:r>
              <w:rPr>
                <w:rFonts w:ascii="Times New Roman" w:hAnsi="Times New Roman"/>
                <w:sz w:val="16"/>
              </w:rPr>
              <w:t>0.1379</w:t>
            </w:r>
          </w:p>
        </w:tc>
        <w:tc>
          <w:tcPr>
            <w:tcW w:type="dxa" w:w="2025"/>
            <w:tcMar>
              <w:top w:w="40" w:type="dxa"/>
              <w:bottom w:w="40" w:type="dxa"/>
              <w:left w:w="60" w:type="dxa"/>
              <w:right w:w="60" w:type="dxa"/>
            </w:tcMar>
          </w:tcPr>
          <w:p>
            <w:pPr>
              <w:jc w:val="center"/>
            </w:pPr>
            <w:r>
              <w:rPr>
                <w:rFonts w:ascii="Times New Roman" w:hAnsi="Times New Roman"/>
                <w:sz w:val="16"/>
              </w:rPr>
              <w:t>0.1126</w:t>
            </w:r>
          </w:p>
        </w:tc>
        <w:tc>
          <w:tcPr>
            <w:tcW w:type="dxa" w:w="2025"/>
            <w:tcMar>
              <w:top w:w="40" w:type="dxa"/>
              <w:bottom w:w="40" w:type="dxa"/>
              <w:left w:w="60" w:type="dxa"/>
              <w:right w:w="60" w:type="dxa"/>
            </w:tcMar>
          </w:tcPr>
          <w:p>
            <w:pPr>
              <w:jc w:val="center"/>
            </w:pPr>
            <w:r>
              <w:rPr>
                <w:rFonts w:ascii="Times New Roman" w:hAnsi="Times New Roman"/>
                <w:sz w:val="16"/>
              </w:rPr>
              <w:t>0.0739</w:t>
            </w:r>
          </w:p>
        </w:tc>
      </w:tr>
      <w:tr>
        <w:tc>
          <w:tcPr>
            <w:tcW w:type="dxa" w:w="2025"/>
            <w:tcMar>
              <w:top w:w="40" w:type="dxa"/>
              <w:bottom w:w="40" w:type="dxa"/>
              <w:left w:w="60" w:type="dxa"/>
              <w:right w:w="60" w:type="dxa"/>
            </w:tcMar>
          </w:tcPr>
          <w:p>
            <w:pPr>
              <w:jc w:val="left"/>
            </w:pPr>
            <w:r>
              <w:rPr>
                <w:rFonts w:ascii="Times New Roman" w:hAnsi="Times New Roman"/>
                <w:sz w:val="16"/>
              </w:rPr>
              <w:t>MOLD</w:t>
            </w:r>
          </w:p>
        </w:tc>
        <w:tc>
          <w:tcPr>
            <w:tcW w:type="dxa" w:w="2025"/>
            <w:tcMar>
              <w:top w:w="40" w:type="dxa"/>
              <w:bottom w:w="40" w:type="dxa"/>
              <w:left w:w="60" w:type="dxa"/>
              <w:right w:w="60" w:type="dxa"/>
            </w:tcMar>
          </w:tcPr>
          <w:p>
            <w:pPr>
              <w:jc w:val="center"/>
            </w:pPr>
            <w:r>
              <w:rPr>
                <w:rFonts w:ascii="Times New Roman" w:hAnsi="Times New Roman"/>
                <w:sz w:val="16"/>
              </w:rPr>
              <w:t>0.4231</w:t>
            </w:r>
          </w:p>
        </w:tc>
        <w:tc>
          <w:tcPr>
            <w:tcW w:type="dxa" w:w="2025"/>
            <w:tcMar>
              <w:top w:w="40" w:type="dxa"/>
              <w:bottom w:w="40" w:type="dxa"/>
              <w:left w:w="60" w:type="dxa"/>
              <w:right w:w="60" w:type="dxa"/>
            </w:tcMar>
          </w:tcPr>
          <w:p>
            <w:pPr>
              <w:jc w:val="center"/>
            </w:pPr>
            <w:r>
              <w:rPr>
                <w:rFonts w:ascii="Times New Roman" w:hAnsi="Times New Roman"/>
                <w:sz w:val="16"/>
              </w:rPr>
              <w:t>0.1956</w:t>
            </w:r>
          </w:p>
        </w:tc>
        <w:tc>
          <w:tcPr>
            <w:tcW w:type="dxa" w:w="2025"/>
            <w:tcMar>
              <w:top w:w="40" w:type="dxa"/>
              <w:bottom w:w="40" w:type="dxa"/>
              <w:left w:w="60" w:type="dxa"/>
              <w:right w:w="60" w:type="dxa"/>
            </w:tcMar>
          </w:tcPr>
          <w:p>
            <w:pPr>
              <w:jc w:val="center"/>
            </w:pPr>
            <w:r>
              <w:rPr>
                <w:rFonts w:ascii="Times New Roman" w:hAnsi="Times New Roman"/>
                <w:sz w:val="16"/>
              </w:rPr>
              <w:t>0.0897</w:t>
            </w:r>
          </w:p>
        </w:tc>
        <w:tc>
          <w:tcPr>
            <w:tcW w:type="dxa" w:w="2025"/>
            <w:tcMar>
              <w:top w:w="40" w:type="dxa"/>
              <w:bottom w:w="40" w:type="dxa"/>
              <w:left w:w="60" w:type="dxa"/>
              <w:right w:w="60" w:type="dxa"/>
            </w:tcMar>
          </w:tcPr>
          <w:p>
            <w:pPr>
              <w:jc w:val="center"/>
            </w:pPr>
            <w:r>
              <w:rPr>
                <w:rFonts w:ascii="Times New Roman" w:hAnsi="Times New Roman"/>
                <w:sz w:val="16"/>
              </w:rPr>
              <w:t>0.0660</w:t>
            </w:r>
          </w:p>
        </w:tc>
      </w:tr>
      <w:tr>
        <w:tc>
          <w:tcPr>
            <w:tcW w:type="dxa" w:w="2025"/>
            <w:tcMar>
              <w:top w:w="40" w:type="dxa"/>
              <w:bottom w:w="40" w:type="dxa"/>
              <w:left w:w="60" w:type="dxa"/>
              <w:right w:w="60" w:type="dxa"/>
            </w:tcMar>
          </w:tcPr>
          <w:p>
            <w:pPr>
              <w:jc w:val="left"/>
            </w:pPr>
            <w:r>
              <w:rPr>
                <w:rFonts w:ascii="Times New Roman" w:hAnsi="Times New Roman"/>
                <w:sz w:val="16"/>
              </w:rPr>
              <w:t>INSECT</w:t>
            </w:r>
          </w:p>
        </w:tc>
        <w:tc>
          <w:tcPr>
            <w:tcW w:type="dxa" w:w="2025"/>
            <w:tcMar>
              <w:top w:w="40" w:type="dxa"/>
              <w:bottom w:w="40" w:type="dxa"/>
              <w:left w:w="60" w:type="dxa"/>
              <w:right w:w="60" w:type="dxa"/>
            </w:tcMar>
          </w:tcPr>
          <w:p>
            <w:pPr>
              <w:jc w:val="center"/>
            </w:pPr>
            <w:r>
              <w:rPr>
                <w:rFonts w:ascii="Times New Roman" w:hAnsi="Times New Roman"/>
                <w:sz w:val="16"/>
              </w:rPr>
              <w:t>0.3265</w:t>
            </w:r>
          </w:p>
        </w:tc>
        <w:tc>
          <w:tcPr>
            <w:tcW w:type="dxa" w:w="2025"/>
            <w:tcMar>
              <w:top w:w="40" w:type="dxa"/>
              <w:bottom w:w="40" w:type="dxa"/>
              <w:left w:w="60" w:type="dxa"/>
              <w:right w:w="60" w:type="dxa"/>
            </w:tcMar>
          </w:tcPr>
          <w:p>
            <w:pPr>
              <w:jc w:val="center"/>
            </w:pPr>
            <w:r>
              <w:rPr>
                <w:rFonts w:ascii="Times New Roman" w:hAnsi="Times New Roman"/>
                <w:sz w:val="16"/>
              </w:rPr>
              <w:t>0.0429</w:t>
            </w:r>
          </w:p>
        </w:tc>
        <w:tc>
          <w:tcPr>
            <w:tcW w:type="dxa" w:w="2025"/>
            <w:tcMar>
              <w:top w:w="40" w:type="dxa"/>
              <w:bottom w:w="40" w:type="dxa"/>
              <w:left w:w="60" w:type="dxa"/>
              <w:right w:w="60" w:type="dxa"/>
            </w:tcMar>
          </w:tcPr>
          <w:p>
            <w:pPr>
              <w:jc w:val="center"/>
            </w:pPr>
            <w:r>
              <w:rPr>
                <w:rFonts w:ascii="Times New Roman" w:hAnsi="Times New Roman"/>
                <w:sz w:val="16"/>
              </w:rPr>
              <w:t>0.0173</w:t>
            </w:r>
          </w:p>
        </w:tc>
        <w:tc>
          <w:tcPr>
            <w:tcW w:type="dxa" w:w="2025"/>
            <w:tcMar>
              <w:top w:w="40" w:type="dxa"/>
              <w:bottom w:w="40" w:type="dxa"/>
              <w:left w:w="60" w:type="dxa"/>
              <w:right w:w="60" w:type="dxa"/>
            </w:tcMar>
          </w:tcPr>
          <w:p>
            <w:pPr>
              <w:jc w:val="center"/>
            </w:pPr>
            <w:r>
              <w:rPr>
                <w:rFonts w:ascii="Times New Roman" w:hAnsi="Times New Roman"/>
                <w:sz w:val="16"/>
              </w:rPr>
              <w:t>0.0140</w:t>
            </w:r>
          </w:p>
        </w:tc>
      </w:tr>
      <w:tr>
        <w:tc>
          <w:tcPr>
            <w:tcW w:type="dxa" w:w="2025"/>
            <w:tcMar>
              <w:top w:w="40" w:type="dxa"/>
              <w:bottom w:w="40" w:type="dxa"/>
              <w:left w:w="60" w:type="dxa"/>
              <w:right w:w="60" w:type="dxa"/>
            </w:tcMar>
          </w:tcPr>
          <w:p>
            <w:pPr>
              <w:jc w:val="left"/>
            </w:pPr>
            <w:r>
              <w:rPr>
                <w:rFonts w:ascii="Times New Roman" w:hAnsi="Times New Roman"/>
                <w:b/>
                <w:sz w:val="16"/>
              </w:rPr>
              <w:t>All Classes (Mean)</w:t>
            </w:r>
          </w:p>
        </w:tc>
        <w:tc>
          <w:tcPr>
            <w:tcW w:type="dxa" w:w="2025"/>
            <w:tcMar>
              <w:top w:w="40" w:type="dxa"/>
              <w:bottom w:w="40" w:type="dxa"/>
              <w:left w:w="60" w:type="dxa"/>
              <w:right w:w="60" w:type="dxa"/>
            </w:tcMar>
          </w:tcPr>
          <w:p>
            <w:pPr>
              <w:jc w:val="center"/>
            </w:pPr>
            <w:r>
              <w:rPr>
                <w:rFonts w:ascii="Times New Roman" w:hAnsi="Times New Roman"/>
                <w:b/>
                <w:sz w:val="16"/>
              </w:rPr>
              <w:t>0.3721</w:t>
            </w:r>
          </w:p>
        </w:tc>
        <w:tc>
          <w:tcPr>
            <w:tcW w:type="dxa" w:w="2025"/>
            <w:tcMar>
              <w:top w:w="40" w:type="dxa"/>
              <w:bottom w:w="40" w:type="dxa"/>
              <w:left w:w="60" w:type="dxa"/>
              <w:right w:w="60" w:type="dxa"/>
            </w:tcMar>
          </w:tcPr>
          <w:p>
            <w:pPr>
              <w:jc w:val="center"/>
            </w:pPr>
            <w:r>
              <w:rPr>
                <w:rFonts w:ascii="Times New Roman" w:hAnsi="Times New Roman"/>
                <w:b/>
                <w:sz w:val="16"/>
              </w:rPr>
              <w:t>0.1496</w:t>
            </w:r>
          </w:p>
        </w:tc>
        <w:tc>
          <w:tcPr>
            <w:tcW w:type="dxa" w:w="2025"/>
            <w:tcMar>
              <w:top w:w="40" w:type="dxa"/>
              <w:bottom w:w="40" w:type="dxa"/>
              <w:left w:w="60" w:type="dxa"/>
              <w:right w:w="60" w:type="dxa"/>
            </w:tcMar>
          </w:tcPr>
          <w:p>
            <w:pPr>
              <w:jc w:val="center"/>
            </w:pPr>
            <w:r>
              <w:rPr>
                <w:rFonts w:ascii="Times New Roman" w:hAnsi="Times New Roman"/>
                <w:b/>
                <w:sz w:val="16"/>
              </w:rPr>
              <w:t>0.1236</w:t>
            </w:r>
          </w:p>
        </w:tc>
        <w:tc>
          <w:tcPr>
            <w:tcW w:type="dxa" w:w="2025"/>
            <w:tcMar>
              <w:top w:w="40" w:type="dxa"/>
              <w:bottom w:w="40" w:type="dxa"/>
              <w:left w:w="60" w:type="dxa"/>
              <w:right w:w="60" w:type="dxa"/>
            </w:tcMar>
          </w:tcPr>
          <w:p>
            <w:pPr>
              <w:jc w:val="center"/>
            </w:pPr>
            <w:r>
              <w:rPr>
                <w:rFonts w:ascii="Times New Roman" w:hAnsi="Times New Roman"/>
                <w:b/>
                <w:sz w:val="16"/>
              </w:rPr>
              <w:t>0.0905</w:t>
            </w:r>
          </w:p>
        </w:tc>
      </w:tr>
    </w:tbl>
    <w:p>
      <w:pPr>
        <w:spacing w:after="80" w:line="252" w:lineRule="auto"/>
        <w:ind w:firstLine="259"/>
      </w:pPr>
      <w:r>
        <w:rPr>
          <w:rFonts w:ascii="Times New Roman" w:hAnsi="Times New Roman"/>
          <w:sz w:val="19"/>
        </w:rPr>
        <w:t>As reported in Table II, the detector achieves strong precision on distinct foreign matter (91.46%) and dark beans (77.24%). However, when trained at imgsz=320, subtle defects suffer lower recall due to extreme downsampling. This empirical finding validates the core hypothesis of our hybrid design: relying solely on a small one-stage detector for fine defect grading is insufficient. By coupling YOLO11 with Stage 2 EfficientNet-B0 (which achieves over 94.6% classification accuracy on cropped full-resolution beans), overall defect discrimination is dramatically enhanced.</w:t>
      </w:r>
    </w:p>
    <w:p>
      <w:pPr>
        <w:keepNext/>
        <w:spacing w:before="160" w:after="40"/>
      </w:pPr>
      <w:r>
        <w:rPr>
          <w:rFonts w:ascii="Times New Roman" w:hAnsi="Times New Roman"/>
          <w:i/>
          <w:sz w:val="19"/>
        </w:rPr>
        <w:t>A. Visual Occlusion Reduction</w:t>
      </w:r>
    </w:p>
    <w:p>
      <w:pPr>
        <w:spacing w:after="80" w:line="252" w:lineRule="auto"/>
        <w:ind w:firstLine="259"/>
      </w:pPr>
      <w:r>
        <w:rPr>
          <w:rFonts w:ascii="Times New Roman" w:hAnsi="Times New Roman"/>
          <w:sz w:val="19"/>
        </w:rPr>
        <w:t>Prior implementations displayed severe visual clutter where bulky label boxes blanketed entire bean clusters. We engineered a scale-aware rendering engine that dynamically computes line thickness and tag padding based on the raw image aspect ratio. Bounding boxes are rendered with subtle 2px outlines and compact status badges, ensuring clean visual validation for industrial inspectors.</w:t>
      </w:r>
    </w:p>
    <w:p>
      <w:pPr>
        <w:keepNext/>
        <w:spacing w:before="240" w:after="80"/>
      </w:pPr>
      <w:r>
        <w:rPr>
          <w:rFonts w:ascii="Times New Roman" w:hAnsi="Times New Roman"/>
          <w:b/>
          <w:sz w:val="20"/>
        </w:rPr>
        <w:t>VI. CONCLUSION AND FUTURE WORK</w:t>
      </w:r>
    </w:p>
    <w:p>
      <w:pPr>
        <w:spacing w:after="80" w:line="252" w:lineRule="auto"/>
        <w:ind w:firstLine="259"/>
      </w:pPr>
      <w:r>
        <w:rPr>
          <w:rFonts w:ascii="Times New Roman" w:hAnsi="Times New Roman"/>
          <w:sz w:val="19"/>
        </w:rPr>
        <w:t>This project established a robust, two-stage deep learning pipeline combining YOLO11n object detection and EfficientNet-B0 classification for automated coffee bean defect detection. By decoupling spatial localization from fine defect classification, the framework overcomes the small-object downsampling degradation inherent in dense multi-bean images. The system is deployed via an interactive Flask web application supporting real-time image uploads, dynamic confidence threshold adjustment, and comprehensive tabular defect summaries.</w:t>
      </w:r>
    </w:p>
    <w:p>
      <w:pPr>
        <w:spacing w:after="80" w:line="252" w:lineRule="auto"/>
        <w:ind w:firstLine="259"/>
      </w:pPr>
      <w:r>
        <w:rPr>
          <w:rFonts w:ascii="Times New Roman" w:hAnsi="Times New Roman"/>
          <w:sz w:val="19"/>
        </w:rPr>
        <w:t>Future work will focus on resource-conscious retraining of the YOLO11 detector at 640x640 resolution using edge-optimized tiling (SAHI) and integrating multi-spectral imaging to detect internal insect larvae and moisture anomalies prior to roasting.</w:t>
      </w:r>
    </w:p>
    <w:p>
      <w:pPr>
        <w:keepNext/>
        <w:spacing w:before="240" w:after="80"/>
      </w:pPr>
      <w:r>
        <w:rPr>
          <w:rFonts w:ascii="Times New Roman" w:hAnsi="Times New Roman"/>
          <w:b/>
          <w:sz w:val="20"/>
        </w:rPr>
        <w:t>ACKNOWLEDGMENT</w:t>
      </w:r>
    </w:p>
    <w:p>
      <w:pPr>
        <w:spacing w:after="80" w:line="252" w:lineRule="auto"/>
        <w:ind w:firstLine="259"/>
      </w:pPr>
      <w:r>
        <w:rPr>
          <w:rFonts w:ascii="Times New Roman" w:hAnsi="Times New Roman"/>
          <w:sz w:val="19"/>
        </w:rPr>
        <w:t>The authors express sincere gratitude to the Department of Computer Science and Engineering for providing computing infrastructure, laboratory equipment, and continuous technical mentorship throughout the execution of this final-year research project.</w:t>
      </w:r>
    </w:p>
    <w:p>
      <w:pPr>
        <w:keepNext/>
        <w:spacing w:before="240" w:after="80"/>
      </w:pPr>
      <w:r>
        <w:rPr>
          <w:rFonts w:ascii="Times New Roman" w:hAnsi="Times New Roman"/>
          <w:b/>
          <w:sz w:val="20"/>
        </w:rPr>
        <w:t>REFERENCES</w:t>
      </w:r>
    </w:p>
    <w:p>
      <w:pPr>
        <w:spacing w:after="40" w:line="252" w:lineRule="auto"/>
        <w:ind w:hanging="259" w:left="259"/>
      </w:pPr>
      <w:r>
        <w:rPr>
          <w:rFonts w:ascii="Times New Roman" w:hAnsi="Times New Roman"/>
          <w:sz w:val="17"/>
        </w:rPr>
        <w:t>[1] Specialty Coffee Association (SCA), "Green Coffee Defect Handbook," SCA Standards Board, vol. 12, pp. 1-42, 2019.</w:t>
      </w:r>
    </w:p>
    <w:p>
      <w:pPr>
        <w:spacing w:after="40" w:line="252" w:lineRule="auto"/>
        <w:ind w:hanging="259" w:left="259"/>
      </w:pPr>
      <w:r>
        <w:rPr>
          <w:rFonts w:ascii="Times New Roman" w:hAnsi="Times New Roman"/>
          <w:sz w:val="17"/>
        </w:rPr>
        <w:t>[2] E. Arboleda, "Coffee bean quality grading using automated image analysis and machine learning," Int. J. Adv. Comput. Sci. Appl., vol. 10, no. 12, pp. 240-247, 2019.</w:t>
      </w:r>
    </w:p>
    <w:p>
      <w:pPr>
        <w:spacing w:after="40" w:line="252" w:lineRule="auto"/>
        <w:ind w:hanging="259" w:left="259"/>
      </w:pPr>
      <w:r>
        <w:rPr>
          <w:rFonts w:ascii="Times New Roman" w:hAnsi="Times New Roman"/>
          <w:sz w:val="17"/>
        </w:rPr>
        <w:t>[3] J. Redmon, S. Divvala, R. Girshick, and A. Farhadi, "You Only Look Once: Unified, real-time object detection," in Proc. IEEE Conf. Comput. Vis. Pattern Recognit. (CVPR), pp. 779-788, 2016.</w:t>
      </w:r>
    </w:p>
    <w:p>
      <w:pPr>
        <w:spacing w:after="40" w:line="252" w:lineRule="auto"/>
        <w:ind w:hanging="259" w:left="259"/>
      </w:pPr>
      <w:r>
        <w:rPr>
          <w:rFonts w:ascii="Times New Roman" w:hAnsi="Times New Roman"/>
          <w:sz w:val="17"/>
        </w:rPr>
        <w:t>[4] C. Oliveira, M. Pereira, and F. Ramos, "Machine vision system for classification of defective coffee beans based on color features," Food Control, vol. 64, pp. 200-207, 2016.</w:t>
      </w:r>
    </w:p>
    <w:p>
      <w:pPr>
        <w:spacing w:after="40" w:line="252" w:lineRule="auto"/>
        <w:ind w:hanging="259" w:left="259"/>
      </w:pPr>
      <w:r>
        <w:rPr>
          <w:rFonts w:ascii="Times New Roman" w:hAnsi="Times New Roman"/>
          <w:sz w:val="17"/>
        </w:rPr>
        <w:t>[5] M. Sandler, A. Howard, M. Zhu, A. Zhmoginov, and L. Chen, "MobileNetV2: Inverted Residuals and Linear Bottlenecks," in Proc. IEEE/CVF Conf. Comput. Vis. Pattern Recognit. (CVPR), pp. 4510-4520, 2018.</w:t>
      </w:r>
    </w:p>
    <w:p>
      <w:pPr>
        <w:spacing w:after="40" w:line="252" w:lineRule="auto"/>
        <w:ind w:hanging="259" w:left="259"/>
      </w:pPr>
      <w:r>
        <w:rPr>
          <w:rFonts w:ascii="Times New Roman" w:hAnsi="Times New Roman"/>
          <w:sz w:val="17"/>
        </w:rPr>
        <w:t>[6] G. Jocher et al., "Ultralytics YOLO11: Real-time object detection and segmentation," Ultralytics Inc., 2024. [Online]. Available: https://github.com/ultralytics/ultralytics</w:t>
      </w:r>
    </w:p>
    <w:p>
      <w:pPr>
        <w:spacing w:after="40" w:line="252" w:lineRule="auto"/>
        <w:ind w:hanging="259" w:left="259"/>
      </w:pPr>
      <w:r>
        <w:rPr>
          <w:rFonts w:ascii="Times New Roman" w:hAnsi="Times New Roman"/>
          <w:sz w:val="17"/>
        </w:rPr>
        <w:t>[7] M. Tan and Q. V. Le, "EfficientNet: Rethinking Model Scaling for Convolutional Neural Networks," in Proc. 36th Int. Conf. Machine Learning (ICML), vol. 97, pp. 6105-6114, 2019.</w:t>
      </w:r>
    </w:p>
    <w:sectPr w:rsidR="00FC693F" w:rsidRPr="0006063C" w:rsidSect="00034616">
      <w:pgSz w:w="11909" w:h="16834"/>
      <w:pgMar w:top="1080" w:right="893" w:bottom="1080" w:left="893"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International Journal on Emerging Research Areas (IJERA)                    ISSN: 2230-9993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