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40" w:before="0"/>
        <w:jc w:val="center"/>
      </w:pPr>
      <w:r>
        <w:rPr>
          <w:rFonts w:ascii="Calibri" w:cs="Calibri" w:eastAsia="Calibri" w:hAnsi="Calibri"/>
          <w:b/>
          <w:bCs/>
          <w:color w:val="0D2B6E"/>
          <w:sz w:val="56"/>
          <w:szCs w:val="56"/>
        </w:rPr>
        <w:t xml:space="preserve">MAINCRAFTS TECHNOLOGY</w:t>
      </w:r>
    </w:p>
    <w:p>
      <w:pPr>
        <w:spacing w:after="80" w:before="0"/>
        <w:jc w:val="center"/>
      </w:pPr>
      <w:r>
        <w:rPr>
          <w:rFonts w:ascii="Calibri" w:cs="Calibri" w:eastAsia="Calibri" w:hAnsi="Calibri"/>
          <w:color w:val="555555"/>
          <w:sz w:val="26"/>
          <w:szCs w:val="26"/>
        </w:rPr>
        <w:t xml:space="preserve">Cyber Security &amp; Ethical Hacking Internship Program</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0D2B6E" w:val="clear"/>
            <w:tcMar>
              <w:top w:type="dxa" w:w="260"/>
              <w:left w:type="dxa" w:w="300"/>
              <w:bottom w:type="dxa" w:w="260"/>
              <w:right w:type="dxa" w:w="300"/>
            </w:tcMar>
          </w:tcPr>
          <w:p>
            <w:pPr>
              <w:spacing w:after="80" w:before="0"/>
              <w:jc w:val="center"/>
            </w:pPr>
            <w:r>
              <w:rPr>
                <w:rFonts w:ascii="Calibri" w:cs="Calibri" w:eastAsia="Calibri" w:hAnsi="Calibri"/>
                <w:b/>
                <w:bCs/>
                <w:color w:val="FFFFFF"/>
                <w:sz w:val="60"/>
                <w:szCs w:val="60"/>
              </w:rPr>
              <w:t xml:space="preserve">THREAT INTELLIGENCE REPORT</w:t>
            </w:r>
          </w:p>
          <w:p>
            <w:pPr>
              <w:spacing w:after="0" w:before="0"/>
              <w:jc w:val="center"/>
            </w:pPr>
            <w:r>
              <w:rPr>
                <w:rFonts w:ascii="Calibri" w:cs="Calibri" w:eastAsia="Calibri" w:hAnsi="Calibri"/>
                <w:color w:val="A8C8F8"/>
                <w:sz w:val="28"/>
                <w:szCs w:val="28"/>
              </w:rPr>
              <w:t xml:space="preserve">Task 1  ·  Cybersecurity Threat Landscape 2024–2025</w:t>
            </w:r>
          </w:p>
        </w:tc>
      </w:tr>
    </w:tbl>
    <w:p>
      <w:pPr>
        <w:spacing w:after="0" w:before="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CCCCC" w:sz="1"/>
              <w:left w:val="single" w:color="CCCCCC" w:sz="1"/>
              <w:bottom w:val="single" w:color="CCCCCC" w:sz="1"/>
              <w:right w:val="single" w:color="CCCCCC" w:sz="1"/>
            </w:tcBorders>
            <w:shd w:fill="D6E8FB" w:val="clear"/>
            <w:tcMar>
              <w:top w:type="dxa" w:w="100"/>
              <w:left w:type="dxa" w:w="140"/>
              <w:bottom w:type="dxa" w:w="100"/>
              <w:right w:type="dxa" w:w="140"/>
            </w:tcMar>
          </w:tcPr>
          <w:p>
            <w:pPr>
              <w:spacing w:after="20" w:before="0"/>
            </w:pPr>
            <w:r>
              <w:rPr>
                <w:rFonts w:ascii="Calibri" w:cs="Calibri" w:eastAsia="Calibri" w:hAnsi="Calibri"/>
                <w:b/>
                <w:bCs/>
                <w:color w:val="1A56B0"/>
                <w:sz w:val="19"/>
                <w:szCs w:val="19"/>
              </w:rPr>
              <w:t xml:space="preserve">Prepared By</w:t>
            </w:r>
          </w:p>
          <w:p>
            <w:pPr>
              <w:spacing w:after="0" w:before="0"/>
            </w:pPr>
            <w:r>
              <w:rPr>
                <w:rFonts w:ascii="Calibri" w:cs="Calibri" w:eastAsia="Calibri" w:hAnsi="Calibri"/>
                <w:color w:val="222222"/>
                <w:sz w:val="20"/>
                <w:szCs w:val="20"/>
              </w:rPr>
              <w:t xml:space="preserve">Nukathoti Akash</w:t>
            </w:r>
          </w:p>
        </w:tc>
        <w:tc>
          <w:tcPr>
            <w:tcW w:type="dxa" w:w="2430"/>
            <w:tcBorders>
              <w:top w:val="single" w:color="CCCCCC" w:sz="1"/>
              <w:left w:val="single" w:color="CCCCCC" w:sz="1"/>
              <w:bottom w:val="single" w:color="CCCCCC" w:sz="1"/>
              <w:right w:val="single" w:color="CCCCCC" w:sz="1"/>
            </w:tcBorders>
            <w:shd w:fill="D6E8FB" w:val="clear"/>
            <w:tcMar>
              <w:top w:type="dxa" w:w="100"/>
              <w:left w:type="dxa" w:w="140"/>
              <w:bottom w:type="dxa" w:w="100"/>
              <w:right w:type="dxa" w:w="140"/>
            </w:tcMar>
          </w:tcPr>
          <w:p>
            <w:pPr>
              <w:spacing w:after="20" w:before="0"/>
            </w:pPr>
            <w:r>
              <w:rPr>
                <w:rFonts w:ascii="Calibri" w:cs="Calibri" w:eastAsia="Calibri" w:hAnsi="Calibri"/>
                <w:b/>
                <w:bCs/>
                <w:color w:val="1A56B0"/>
                <w:sz w:val="19"/>
                <w:szCs w:val="19"/>
              </w:rPr>
              <w:t xml:space="preserve">Intern ID</w:t>
            </w:r>
          </w:p>
          <w:p>
            <w:pPr>
              <w:spacing w:after="0" w:before="0"/>
            </w:pPr>
            <w:r>
              <w:rPr>
                <w:rFonts w:ascii="Calibri" w:cs="Calibri" w:eastAsia="Calibri" w:hAnsi="Calibri"/>
                <w:color w:val="222222"/>
                <w:sz w:val="20"/>
                <w:szCs w:val="20"/>
              </w:rPr>
              <w:t xml:space="preserve">MT6177</w:t>
            </w:r>
          </w:p>
        </w:tc>
        <w:tc>
          <w:tcPr>
            <w:tcW w:type="dxa" w:w="2430"/>
            <w:tcBorders>
              <w:top w:val="single" w:color="CCCCCC" w:sz="1"/>
              <w:left w:val="single" w:color="CCCCCC" w:sz="1"/>
              <w:bottom w:val="single" w:color="CCCCCC" w:sz="1"/>
              <w:right w:val="single" w:color="CCCCCC" w:sz="1"/>
            </w:tcBorders>
            <w:shd w:fill="D6E8FB" w:val="clear"/>
            <w:tcMar>
              <w:top w:type="dxa" w:w="100"/>
              <w:left w:type="dxa" w:w="140"/>
              <w:bottom w:type="dxa" w:w="100"/>
              <w:right w:type="dxa" w:w="140"/>
            </w:tcMar>
          </w:tcPr>
          <w:p>
            <w:pPr>
              <w:spacing w:after="20" w:before="0"/>
            </w:pPr>
            <w:r>
              <w:rPr>
                <w:rFonts w:ascii="Calibri" w:cs="Calibri" w:eastAsia="Calibri" w:hAnsi="Calibri"/>
                <w:b/>
                <w:bCs/>
                <w:color w:val="1A56B0"/>
                <w:sz w:val="19"/>
                <w:szCs w:val="19"/>
              </w:rPr>
              <w:t xml:space="preserve">Domain</w:t>
            </w:r>
          </w:p>
          <w:p>
            <w:pPr>
              <w:spacing w:after="0" w:before="0"/>
            </w:pPr>
            <w:r>
              <w:rPr>
                <w:rFonts w:ascii="Calibri" w:cs="Calibri" w:eastAsia="Calibri" w:hAnsi="Calibri"/>
                <w:color w:val="222222"/>
                <w:sz w:val="20"/>
                <w:szCs w:val="20"/>
              </w:rPr>
              <w:t xml:space="preserve">Cyber Security &amp; Ethical Hacking</w:t>
            </w:r>
          </w:p>
        </w:tc>
        <w:tc>
          <w:tcPr>
            <w:tcW w:type="dxa" w:w="2430"/>
            <w:tcBorders>
              <w:top w:val="single" w:color="CCCCCC" w:sz="1"/>
              <w:left w:val="single" w:color="CCCCCC" w:sz="1"/>
              <w:bottom w:val="single" w:color="CCCCCC" w:sz="1"/>
              <w:right w:val="single" w:color="CCCCCC" w:sz="1"/>
            </w:tcBorders>
            <w:shd w:fill="D6E8FB" w:val="clear"/>
            <w:tcMar>
              <w:top w:type="dxa" w:w="100"/>
              <w:left w:type="dxa" w:w="140"/>
              <w:bottom w:type="dxa" w:w="100"/>
              <w:right w:type="dxa" w:w="140"/>
            </w:tcMar>
          </w:tcPr>
          <w:p>
            <w:pPr>
              <w:spacing w:after="20" w:before="0"/>
            </w:pPr>
            <w:r>
              <w:rPr>
                <w:rFonts w:ascii="Calibri" w:cs="Calibri" w:eastAsia="Calibri" w:hAnsi="Calibri"/>
                <w:b/>
                <w:bCs/>
                <w:color w:val="1A56B0"/>
                <w:sz w:val="19"/>
                <w:szCs w:val="19"/>
              </w:rPr>
              <w:t xml:space="preserve">Duration</w:t>
            </w:r>
          </w:p>
          <w:p>
            <w:pPr>
              <w:spacing w:after="0" w:before="0"/>
            </w:pPr>
            <w:r>
              <w:rPr>
                <w:rFonts w:ascii="Calibri" w:cs="Calibri" w:eastAsia="Calibri" w:hAnsi="Calibri"/>
                <w:color w:val="222222"/>
                <w:sz w:val="20"/>
                <w:szCs w:val="20"/>
              </w:rPr>
              <w:t xml:space="preserve">07 June – 22 July 2026</w:t>
            </w:r>
          </w:p>
        </w:tc>
      </w:tr>
    </w:tbl>
    <w:p>
      <w:pPr>
        <w:spacing w:after="0" w:before="0"/>
      </w:pPr>
      <w:r>
        <w:t xml:space="preserve"/>
      </w:r>
    </w:p>
    <w:p>
      <w:pPr>
        <w:spacing w:after="0" w:before="0"/>
        <w:jc w:val="center"/>
      </w:pPr>
      <w:r>
        <w:rPr>
          <w:rFonts w:ascii="Calibri" w:cs="Calibri" w:eastAsia="Calibri" w:hAnsi="Calibri"/>
          <w:b/>
          <w:bCs/>
          <w:color w:val="C0392B"/>
          <w:sz w:val="20"/>
          <w:szCs w:val="20"/>
        </w:rPr>
        <w:t xml:space="preserve">CLASSIFICATION: CONFIDENTIAL — FOR INTERNAL USE ONLY</w:t>
      </w:r>
    </w:p>
    <w:p>
      <w:r>
        <w:br/>
      </w:r>
    </w:p>
    <w:p>
      <w:pPr>
        <w:pStyle w:val="Heading1"/>
        <w:pBdr>
          <w:bottom w:val="single" w:color="1A56B0" w:sz="10" w:space="6"/>
        </w:pBdr>
        <w:spacing w:after="160" w:before="400"/>
      </w:pPr>
      <w:r>
        <w:rPr>
          <w:rFonts w:ascii="Calibri" w:cs="Calibri" w:eastAsia="Calibri" w:hAnsi="Calibri"/>
          <w:b/>
          <w:bCs/>
          <w:caps/>
          <w:color w:val="0D2B6E"/>
          <w:sz w:val="34"/>
          <w:szCs w:val="34"/>
        </w:rPr>
        <w:t xml:space="preserve">Table of Contents</w:t>
      </w:r>
    </w:p>
    <w:p>
      <w:pPr>
        <w:spacing w:after="0" w:before="0"/>
      </w:pPr>
      <w:r>
        <w:t xml:space="preserve"/>
      </w:r>
    </w:p>
    <w:p>
      <w:pPr>
        <w:tabs>
          <w:tab w:val="right" w:pos="8640"/>
        </w:tabs>
        <w:spacing w:after="50" w:before="50"/>
      </w:pPr>
      <w:r>
        <w:rPr>
          <w:rFonts w:ascii="Calibri" w:cs="Calibri" w:eastAsia="Calibri" w:hAnsi="Calibri"/>
          <w:b/>
          <w:bCs/>
          <w:color w:val="0D2B6E"/>
          <w:sz w:val="22"/>
          <w:szCs w:val="22"/>
        </w:rPr>
        <w:t xml:space="preserve">1.</w:t>
      </w:r>
      <w:r>
        <w:rPr>
          <w:rFonts w:ascii="Calibri" w:cs="Calibri" w:eastAsia="Calibri" w:hAnsi="Calibri"/>
          <w:color w:val="222222"/>
          <w:sz w:val="22"/>
          <w:szCs w:val="22"/>
        </w:rPr>
        <w:t xml:space="preserve">	Introduction to Cybersecurity</w:t>
      </w:r>
      <w:r>
        <w:rPr>
          <w:rFonts w:ascii="Calibri" w:cs="Calibri" w:eastAsia="Calibri" w:hAnsi="Calibri"/>
          <w:color w:val="555555"/>
          <w:sz w:val="22"/>
          <w:szCs w:val="22"/>
        </w:rPr>
        <w:t xml:space="preserve">	3</w:t>
      </w:r>
    </w:p>
    <w:p>
      <w:pPr>
        <w:tabs>
          <w:tab w:val="right" w:pos="8640"/>
        </w:tabs>
        <w:spacing w:after="50" w:before="50"/>
      </w:pPr>
      <w:r>
        <w:rPr>
          <w:rFonts w:ascii="Calibri" w:cs="Calibri" w:eastAsia="Calibri" w:hAnsi="Calibri"/>
          <w:b/>
          <w:bCs/>
          <w:color w:val="0D2B6E"/>
          <w:sz w:val="22"/>
          <w:szCs w:val="22"/>
        </w:rPr>
        <w:t xml:space="preserve">2.</w:t>
      </w:r>
      <w:r>
        <w:rPr>
          <w:rFonts w:ascii="Calibri" w:cs="Calibri" w:eastAsia="Calibri" w:hAnsi="Calibri"/>
          <w:color w:val="222222"/>
          <w:sz w:val="22"/>
          <w:szCs w:val="22"/>
        </w:rPr>
        <w:t xml:space="preserve">	Five Major Modern Cyber Threats (2024–2025)</w:t>
      </w:r>
      <w:r>
        <w:rPr>
          <w:rFonts w:ascii="Calibri" w:cs="Calibri" w:eastAsia="Calibri" w:hAnsi="Calibri"/>
          <w:color w:val="555555"/>
          <w:sz w:val="22"/>
          <w:szCs w:val="22"/>
        </w:rPr>
        <w:t xml:space="preserve">	4</w:t>
      </w:r>
    </w:p>
    <w:p>
      <w:pPr>
        <w:tabs>
          <w:tab w:val="right" w:pos="8640"/>
        </w:tabs>
        <w:spacing w:after="50" w:before="50"/>
      </w:pPr>
      <w:r>
        <w:rPr>
          <w:rFonts w:ascii="Calibri" w:cs="Calibri" w:eastAsia="Calibri" w:hAnsi="Calibri"/>
          <w:b w:val="false"/>
          <w:bCs w:val="false"/>
          <w:color w:val="222222"/>
          <w:sz w:val="22"/>
          <w:szCs w:val="22"/>
        </w:rPr>
        <w:t xml:space="preserve"/>
      </w:r>
      <w:r>
        <w:rPr>
          <w:rFonts w:ascii="Calibri" w:cs="Calibri" w:eastAsia="Calibri" w:hAnsi="Calibri"/>
          <w:color w:val="555555"/>
          <w:sz w:val="22"/>
          <w:szCs w:val="22"/>
        </w:rPr>
        <w:t xml:space="preserve">	2.1  AI-Powered Phishing Attacks</w:t>
      </w:r>
      <w:r>
        <w:rPr>
          <w:rFonts w:ascii="Calibri" w:cs="Calibri" w:eastAsia="Calibri" w:hAnsi="Calibri"/>
          <w:color w:val="555555"/>
          <w:sz w:val="22"/>
          <w:szCs w:val="22"/>
        </w:rPr>
        <w:t xml:space="preserve">	4</w:t>
      </w:r>
    </w:p>
    <w:p>
      <w:pPr>
        <w:tabs>
          <w:tab w:val="right" w:pos="8640"/>
        </w:tabs>
        <w:spacing w:after="50" w:before="50"/>
      </w:pPr>
      <w:r>
        <w:rPr>
          <w:rFonts w:ascii="Calibri" w:cs="Calibri" w:eastAsia="Calibri" w:hAnsi="Calibri"/>
          <w:b w:val="false"/>
          <w:bCs w:val="false"/>
          <w:color w:val="222222"/>
          <w:sz w:val="22"/>
          <w:szCs w:val="22"/>
        </w:rPr>
        <w:t xml:space="preserve"/>
      </w:r>
      <w:r>
        <w:rPr>
          <w:rFonts w:ascii="Calibri" w:cs="Calibri" w:eastAsia="Calibri" w:hAnsi="Calibri"/>
          <w:color w:val="555555"/>
          <w:sz w:val="22"/>
          <w:szCs w:val="22"/>
        </w:rPr>
        <w:t xml:space="preserve">	2.2  Ransomware-as-a-Service (RaaS)</w:t>
      </w:r>
      <w:r>
        <w:rPr>
          <w:rFonts w:ascii="Calibri" w:cs="Calibri" w:eastAsia="Calibri" w:hAnsi="Calibri"/>
          <w:color w:val="555555"/>
          <w:sz w:val="22"/>
          <w:szCs w:val="22"/>
        </w:rPr>
        <w:t xml:space="preserve">	5</w:t>
      </w:r>
    </w:p>
    <w:p>
      <w:pPr>
        <w:tabs>
          <w:tab w:val="right" w:pos="8640"/>
        </w:tabs>
        <w:spacing w:after="50" w:before="50"/>
      </w:pPr>
      <w:r>
        <w:rPr>
          <w:rFonts w:ascii="Calibri" w:cs="Calibri" w:eastAsia="Calibri" w:hAnsi="Calibri"/>
          <w:b w:val="false"/>
          <w:bCs w:val="false"/>
          <w:color w:val="222222"/>
          <w:sz w:val="22"/>
          <w:szCs w:val="22"/>
        </w:rPr>
        <w:t xml:space="preserve"/>
      </w:r>
      <w:r>
        <w:rPr>
          <w:rFonts w:ascii="Calibri" w:cs="Calibri" w:eastAsia="Calibri" w:hAnsi="Calibri"/>
          <w:color w:val="555555"/>
          <w:sz w:val="22"/>
          <w:szCs w:val="22"/>
        </w:rPr>
        <w:t xml:space="preserve">	2.3  Cloud Security Misconfigurations</w:t>
      </w:r>
      <w:r>
        <w:rPr>
          <w:rFonts w:ascii="Calibri" w:cs="Calibri" w:eastAsia="Calibri" w:hAnsi="Calibri"/>
          <w:color w:val="555555"/>
          <w:sz w:val="22"/>
          <w:szCs w:val="22"/>
        </w:rPr>
        <w:t xml:space="preserve">	6</w:t>
      </w:r>
    </w:p>
    <w:p>
      <w:pPr>
        <w:tabs>
          <w:tab w:val="right" w:pos="8640"/>
        </w:tabs>
        <w:spacing w:after="50" w:before="50"/>
      </w:pPr>
      <w:r>
        <w:rPr>
          <w:rFonts w:ascii="Calibri" w:cs="Calibri" w:eastAsia="Calibri" w:hAnsi="Calibri"/>
          <w:b w:val="false"/>
          <w:bCs w:val="false"/>
          <w:color w:val="222222"/>
          <w:sz w:val="22"/>
          <w:szCs w:val="22"/>
        </w:rPr>
        <w:t xml:space="preserve"/>
      </w:r>
      <w:r>
        <w:rPr>
          <w:rFonts w:ascii="Calibri" w:cs="Calibri" w:eastAsia="Calibri" w:hAnsi="Calibri"/>
          <w:color w:val="555555"/>
          <w:sz w:val="22"/>
          <w:szCs w:val="22"/>
        </w:rPr>
        <w:t xml:space="preserve">	2.4  IoT Vulnerabilities</w:t>
      </w:r>
      <w:r>
        <w:rPr>
          <w:rFonts w:ascii="Calibri" w:cs="Calibri" w:eastAsia="Calibri" w:hAnsi="Calibri"/>
          <w:color w:val="555555"/>
          <w:sz w:val="22"/>
          <w:szCs w:val="22"/>
        </w:rPr>
        <w:t xml:space="preserve">	7</w:t>
      </w:r>
    </w:p>
    <w:p>
      <w:pPr>
        <w:tabs>
          <w:tab w:val="right" w:pos="8640"/>
        </w:tabs>
        <w:spacing w:after="50" w:before="50"/>
      </w:pPr>
      <w:r>
        <w:rPr>
          <w:rFonts w:ascii="Calibri" w:cs="Calibri" w:eastAsia="Calibri" w:hAnsi="Calibri"/>
          <w:b w:val="false"/>
          <w:bCs w:val="false"/>
          <w:color w:val="222222"/>
          <w:sz w:val="22"/>
          <w:szCs w:val="22"/>
        </w:rPr>
        <w:t xml:space="preserve"/>
      </w:r>
      <w:r>
        <w:rPr>
          <w:rFonts w:ascii="Calibri" w:cs="Calibri" w:eastAsia="Calibri" w:hAnsi="Calibri"/>
          <w:color w:val="555555"/>
          <w:sz w:val="22"/>
          <w:szCs w:val="22"/>
        </w:rPr>
        <w:t xml:space="preserve">	2.5  Zero-Day Exploits</w:t>
      </w:r>
      <w:r>
        <w:rPr>
          <w:rFonts w:ascii="Calibri" w:cs="Calibri" w:eastAsia="Calibri" w:hAnsi="Calibri"/>
          <w:color w:val="555555"/>
          <w:sz w:val="22"/>
          <w:szCs w:val="22"/>
        </w:rPr>
        <w:t xml:space="preserve">	8</w:t>
      </w:r>
    </w:p>
    <w:p>
      <w:pPr>
        <w:tabs>
          <w:tab w:val="right" w:pos="8640"/>
        </w:tabs>
        <w:spacing w:after="50" w:before="50"/>
      </w:pPr>
      <w:r>
        <w:rPr>
          <w:rFonts w:ascii="Calibri" w:cs="Calibri" w:eastAsia="Calibri" w:hAnsi="Calibri"/>
          <w:b/>
          <w:bCs/>
          <w:color w:val="0D2B6E"/>
          <w:sz w:val="22"/>
          <w:szCs w:val="22"/>
        </w:rPr>
        <w:t xml:space="preserve">3.</w:t>
      </w:r>
      <w:r>
        <w:rPr>
          <w:rFonts w:ascii="Calibri" w:cs="Calibri" w:eastAsia="Calibri" w:hAnsi="Calibri"/>
          <w:color w:val="222222"/>
          <w:sz w:val="22"/>
          <w:szCs w:val="22"/>
        </w:rPr>
        <w:t xml:space="preserve">	Impact Analysis Summary</w:t>
      </w:r>
      <w:r>
        <w:rPr>
          <w:rFonts w:ascii="Calibri" w:cs="Calibri" w:eastAsia="Calibri" w:hAnsi="Calibri"/>
          <w:color w:val="555555"/>
          <w:sz w:val="22"/>
          <w:szCs w:val="22"/>
        </w:rPr>
        <w:t xml:space="preserve">	9</w:t>
      </w:r>
    </w:p>
    <w:p>
      <w:pPr>
        <w:tabs>
          <w:tab w:val="right" w:pos="8640"/>
        </w:tabs>
        <w:spacing w:after="50" w:before="50"/>
      </w:pPr>
      <w:r>
        <w:rPr>
          <w:rFonts w:ascii="Calibri" w:cs="Calibri" w:eastAsia="Calibri" w:hAnsi="Calibri"/>
          <w:b/>
          <w:bCs/>
          <w:color w:val="0D2B6E"/>
          <w:sz w:val="22"/>
          <w:szCs w:val="22"/>
        </w:rPr>
        <w:t xml:space="preserve">4.</w:t>
      </w:r>
      <w:r>
        <w:rPr>
          <w:rFonts w:ascii="Calibri" w:cs="Calibri" w:eastAsia="Calibri" w:hAnsi="Calibri"/>
          <w:color w:val="222222"/>
          <w:sz w:val="22"/>
          <w:szCs w:val="22"/>
        </w:rPr>
        <w:t xml:space="preserve">	Real-World Case Studies</w:t>
      </w:r>
      <w:r>
        <w:rPr>
          <w:rFonts w:ascii="Calibri" w:cs="Calibri" w:eastAsia="Calibri" w:hAnsi="Calibri"/>
          <w:color w:val="555555"/>
          <w:sz w:val="22"/>
          <w:szCs w:val="22"/>
        </w:rPr>
        <w:t xml:space="preserve">	10</w:t>
      </w:r>
    </w:p>
    <w:p>
      <w:pPr>
        <w:tabs>
          <w:tab w:val="right" w:pos="8640"/>
        </w:tabs>
        <w:spacing w:after="50" w:before="50"/>
      </w:pPr>
      <w:r>
        <w:rPr>
          <w:rFonts w:ascii="Calibri" w:cs="Calibri" w:eastAsia="Calibri" w:hAnsi="Calibri"/>
          <w:b/>
          <w:bCs/>
          <w:color w:val="0D2B6E"/>
          <w:sz w:val="22"/>
          <w:szCs w:val="22"/>
        </w:rPr>
        <w:t xml:space="preserve">5.</w:t>
      </w:r>
      <w:r>
        <w:rPr>
          <w:rFonts w:ascii="Calibri" w:cs="Calibri" w:eastAsia="Calibri" w:hAnsi="Calibri"/>
          <w:color w:val="222222"/>
          <w:sz w:val="22"/>
          <w:szCs w:val="22"/>
        </w:rPr>
        <w:t xml:space="preserve">	Preventive Measures &amp; Defense Strategies</w:t>
      </w:r>
      <w:r>
        <w:rPr>
          <w:rFonts w:ascii="Calibri" w:cs="Calibri" w:eastAsia="Calibri" w:hAnsi="Calibri"/>
          <w:color w:val="555555"/>
          <w:sz w:val="22"/>
          <w:szCs w:val="22"/>
        </w:rPr>
        <w:t xml:space="preserve">	11</w:t>
      </w:r>
    </w:p>
    <w:p>
      <w:pPr>
        <w:tabs>
          <w:tab w:val="right" w:pos="8640"/>
        </w:tabs>
        <w:spacing w:after="50" w:before="50"/>
      </w:pPr>
      <w:r>
        <w:rPr>
          <w:rFonts w:ascii="Calibri" w:cs="Calibri" w:eastAsia="Calibri" w:hAnsi="Calibri"/>
          <w:b/>
          <w:bCs/>
          <w:color w:val="0D2B6E"/>
          <w:sz w:val="22"/>
          <w:szCs w:val="22"/>
        </w:rPr>
        <w:t xml:space="preserve">6.</w:t>
      </w:r>
      <w:r>
        <w:rPr>
          <w:rFonts w:ascii="Calibri" w:cs="Calibri" w:eastAsia="Calibri" w:hAnsi="Calibri"/>
          <w:color w:val="222222"/>
          <w:sz w:val="22"/>
          <w:szCs w:val="22"/>
        </w:rPr>
        <w:t xml:space="preserve">	Conclusion &amp; Future Scope</w:t>
      </w:r>
      <w:r>
        <w:rPr>
          <w:rFonts w:ascii="Calibri" w:cs="Calibri" w:eastAsia="Calibri" w:hAnsi="Calibri"/>
          <w:color w:val="555555"/>
          <w:sz w:val="22"/>
          <w:szCs w:val="22"/>
        </w:rPr>
        <w:t xml:space="preserve">	13</w:t>
      </w:r>
    </w:p>
    <w:p>
      <w:pPr>
        <w:tabs>
          <w:tab w:val="right" w:pos="8640"/>
        </w:tabs>
        <w:spacing w:after="50" w:before="50"/>
      </w:pPr>
      <w:r>
        <w:rPr>
          <w:rFonts w:ascii="Calibri" w:cs="Calibri" w:eastAsia="Calibri" w:hAnsi="Calibri"/>
          <w:b/>
          <w:bCs/>
          <w:color w:val="0D2B6E"/>
          <w:sz w:val="22"/>
          <w:szCs w:val="22"/>
        </w:rPr>
        <w:t xml:space="preserve">7.</w:t>
      </w:r>
      <w:r>
        <w:rPr>
          <w:rFonts w:ascii="Calibri" w:cs="Calibri" w:eastAsia="Calibri" w:hAnsi="Calibri"/>
          <w:color w:val="222222"/>
          <w:sz w:val="22"/>
          <w:szCs w:val="22"/>
        </w:rPr>
        <w:t xml:space="preserve">	References</w:t>
      </w:r>
      <w:r>
        <w:rPr>
          <w:rFonts w:ascii="Calibri" w:cs="Calibri" w:eastAsia="Calibri" w:hAnsi="Calibri"/>
          <w:color w:val="555555"/>
          <w:sz w:val="22"/>
          <w:szCs w:val="22"/>
        </w:rPr>
        <w:t xml:space="preserve">	14</w:t>
      </w:r>
    </w:p>
    <w:p>
      <w:r>
        <w:br/>
      </w:r>
    </w:p>
    <w:p>
      <w:pPr>
        <w:pStyle w:val="Heading1"/>
        <w:pBdr>
          <w:bottom w:val="single" w:color="1A56B0" w:sz="10" w:space="6"/>
        </w:pBdr>
        <w:spacing w:after="160" w:before="400"/>
      </w:pPr>
      <w:r>
        <w:rPr>
          <w:rFonts w:ascii="Calibri" w:cs="Calibri" w:eastAsia="Calibri" w:hAnsi="Calibri"/>
          <w:b/>
          <w:bCs/>
          <w:caps/>
          <w:color w:val="0D2B6E"/>
          <w:sz w:val="34"/>
          <w:szCs w:val="34"/>
        </w:rPr>
        <w:t xml:space="preserve">1. Introduction to Cybersecurity</w:t>
      </w:r>
    </w:p>
    <w:p>
      <w:pPr>
        <w:pStyle w:val="Heading2"/>
        <w:spacing w:after="100" w:before="280"/>
      </w:pPr>
      <w:r>
        <w:rPr>
          <w:rFonts w:ascii="Calibri" w:cs="Calibri" w:eastAsia="Calibri" w:hAnsi="Calibri"/>
          <w:b/>
          <w:bCs/>
          <w:color w:val="1A56B0"/>
          <w:sz w:val="28"/>
          <w:szCs w:val="28"/>
        </w:rPr>
        <w:t xml:space="preserve">1.1 What is Cybersecurity?</w:t>
      </w:r>
    </w:p>
    <w:p>
      <w:pPr>
        <w:spacing w:after="120" w:before="60"/>
        <w:jc w:val="both"/>
      </w:pPr>
      <w:r>
        <w:rPr>
          <w:rFonts w:ascii="Calibri" w:cs="Calibri" w:eastAsia="Calibri" w:hAnsi="Calibri"/>
          <w:b w:val="false"/>
          <w:bCs w:val="false"/>
          <w:i w:val="false"/>
          <w:iCs w:val="false"/>
          <w:color w:val="222222"/>
          <w:sz w:val="22"/>
          <w:szCs w:val="22"/>
        </w:rPr>
        <w:t xml:space="preserve">Cybersecurity is the practice of protecting computer systems, networks, applications, devices, and data from digital attacks, unauthorized access, data breaches, and damage. It encompasses a comprehensive set of technologies, processes, policies, and practices designed to defend against cyber threats that continuously evolve in sophistication and scale.</w:t>
      </w:r>
    </w:p>
    <w:p>
      <w:pPr>
        <w:spacing w:after="120" w:before="60"/>
        <w:jc w:val="both"/>
      </w:pPr>
      <w:r>
        <w:rPr>
          <w:rFonts w:ascii="Calibri" w:cs="Calibri" w:eastAsia="Calibri" w:hAnsi="Calibri"/>
          <w:b w:val="false"/>
          <w:bCs w:val="false"/>
          <w:i w:val="false"/>
          <w:iCs w:val="false"/>
          <w:color w:val="222222"/>
          <w:sz w:val="22"/>
          <w:szCs w:val="22"/>
        </w:rPr>
        <w:t xml:space="preserve">The discipline spans multiple domains: network security, endpoint security, application security, information security, cloud security, operational security, disaster recovery, and user education. Together, these layers form a defense-in-depth strategy that modern organizations must adopt to safeguard their digital operations.</w:t>
      </w:r>
    </w:p>
    <w:p>
      <w:pPr>
        <w:pStyle w:val="Heading2"/>
        <w:spacing w:after="100" w:before="280"/>
      </w:pPr>
      <w:r>
        <w:rPr>
          <w:rFonts w:ascii="Calibri" w:cs="Calibri" w:eastAsia="Calibri" w:hAnsi="Calibri"/>
          <w:b/>
          <w:bCs/>
          <w:color w:val="1A56B0"/>
          <w:sz w:val="28"/>
          <w:szCs w:val="28"/>
        </w:rPr>
        <w:t xml:space="preserve">1.2 Why is Cybersecurity Important?</w:t>
      </w:r>
    </w:p>
    <w:p>
      <w:pPr>
        <w:spacing w:after="120" w:before="60"/>
        <w:jc w:val="both"/>
      </w:pPr>
      <w:r>
        <w:rPr>
          <w:rFonts w:ascii="Calibri" w:cs="Calibri" w:eastAsia="Calibri" w:hAnsi="Calibri"/>
          <w:b w:val="false"/>
          <w:bCs w:val="false"/>
          <w:i w:val="false"/>
          <w:iCs w:val="false"/>
          <w:color w:val="222222"/>
          <w:sz w:val="22"/>
          <w:szCs w:val="22"/>
        </w:rPr>
        <w:t xml:space="preserve">In today's hyper-connected world, cybersecurity is not optional — it is a fundamental business and personal necessity. The consequences of inadequate cybersecurity range from financial loss and reputational damage to national security threats and loss of human life (e.g., hospital cyberattacks).</w:t>
      </w:r>
    </w:p>
    <w:p>
      <w:pPr>
        <w:spacing w:after="0" w:before="0"/>
      </w:pPr>
      <w:r>
        <w:t xml:space="preserve"/>
      </w:r>
    </w:p>
    <w:p>
      <w:pPr>
        <w:spacing w:after="60" w:before="60"/>
      </w:pPr>
      <w:r>
        <w:rPr>
          <w:rFonts w:ascii="Calibri" w:cs="Calibri" w:eastAsia="Calibri" w:hAnsi="Calibri"/>
          <w:b/>
          <w:bCs/>
          <w:color w:val="1A56B0"/>
          <w:sz w:val="22"/>
          <w:szCs w:val="22"/>
        </w:rPr>
        <w:t xml:space="preserve">For Individuals:</w:t>
      </w:r>
    </w:p>
    <w:p>
      <w:pPr>
        <w:pStyle w:val="ListParagraph"/>
        <w:numPr>
          <w:ilvl w:val="0"/>
          <w:numId w:val="2"/>
        </w:numPr>
        <w:spacing w:after="60" w:before="40"/>
      </w:pPr>
      <w:r>
        <w:rPr>
          <w:rFonts w:ascii="Calibri" w:cs="Calibri" w:eastAsia="Calibri" w:hAnsi="Calibri"/>
          <w:color w:val="222222"/>
          <w:sz w:val="22"/>
          <w:szCs w:val="22"/>
        </w:rPr>
        <w:t xml:space="preserve">Protection of personal data: banking credentials, health records, identity documents, and private communications</w:t>
      </w:r>
    </w:p>
    <w:p>
      <w:pPr>
        <w:pStyle w:val="ListParagraph"/>
        <w:numPr>
          <w:ilvl w:val="0"/>
          <w:numId w:val="2"/>
        </w:numPr>
        <w:spacing w:after="60" w:before="40"/>
      </w:pPr>
      <w:r>
        <w:rPr>
          <w:rFonts w:ascii="Calibri" w:cs="Calibri" w:eastAsia="Calibri" w:hAnsi="Calibri"/>
          <w:color w:val="222222"/>
          <w:sz w:val="22"/>
          <w:szCs w:val="22"/>
        </w:rPr>
        <w:t xml:space="preserve">Prevention of identity theft, financial fraud, and account takeover attacks</w:t>
      </w:r>
    </w:p>
    <w:p>
      <w:pPr>
        <w:pStyle w:val="ListParagraph"/>
        <w:numPr>
          <w:ilvl w:val="0"/>
          <w:numId w:val="2"/>
        </w:numPr>
        <w:spacing w:after="60" w:before="40"/>
      </w:pPr>
      <w:r>
        <w:rPr>
          <w:rFonts w:ascii="Calibri" w:cs="Calibri" w:eastAsia="Calibri" w:hAnsi="Calibri"/>
          <w:color w:val="222222"/>
          <w:sz w:val="22"/>
          <w:szCs w:val="22"/>
        </w:rPr>
        <w:t xml:space="preserve">Defense against stalkerware, ransomware targeting personal devices, and social engineering scams</w:t>
      </w:r>
    </w:p>
    <w:p>
      <w:pPr>
        <w:pStyle w:val="ListParagraph"/>
        <w:numPr>
          <w:ilvl w:val="0"/>
          <w:numId w:val="2"/>
        </w:numPr>
        <w:spacing w:after="60" w:before="40"/>
      </w:pPr>
      <w:r>
        <w:rPr>
          <w:rFonts w:ascii="Calibri" w:cs="Calibri" w:eastAsia="Calibri" w:hAnsi="Calibri"/>
          <w:color w:val="222222"/>
          <w:sz w:val="22"/>
          <w:szCs w:val="22"/>
        </w:rPr>
        <w:t xml:space="preserve">Privacy protection from surveillance, data harvesting, and unauthorized device access</w:t>
      </w:r>
    </w:p>
    <w:p>
      <w:pPr>
        <w:spacing w:after="0" w:before="0"/>
      </w:pPr>
      <w:r>
        <w:t xml:space="preserve"/>
      </w:r>
    </w:p>
    <w:p>
      <w:pPr>
        <w:spacing w:after="60" w:before="60"/>
      </w:pPr>
      <w:r>
        <w:rPr>
          <w:rFonts w:ascii="Calibri" w:cs="Calibri" w:eastAsia="Calibri" w:hAnsi="Calibri"/>
          <w:b/>
          <w:bCs/>
          <w:color w:val="1A56B0"/>
          <w:sz w:val="22"/>
          <w:szCs w:val="22"/>
        </w:rPr>
        <w:t xml:space="preserve">For Organizations &amp; Businesses:</w:t>
      </w:r>
    </w:p>
    <w:p>
      <w:pPr>
        <w:pStyle w:val="ListParagraph"/>
        <w:numPr>
          <w:ilvl w:val="0"/>
          <w:numId w:val="2"/>
        </w:numPr>
        <w:spacing w:after="60" w:before="40"/>
      </w:pPr>
      <w:r>
        <w:rPr>
          <w:rFonts w:ascii="Calibri" w:cs="Calibri" w:eastAsia="Calibri" w:hAnsi="Calibri"/>
          <w:color w:val="222222"/>
          <w:sz w:val="22"/>
          <w:szCs w:val="22"/>
        </w:rPr>
        <w:t xml:space="preserve">Prevention of financial losses — the average cost of a data breach reached $4.88 million in 2024 (IBM Report)</w:t>
      </w:r>
    </w:p>
    <w:p>
      <w:pPr>
        <w:pStyle w:val="ListParagraph"/>
        <w:numPr>
          <w:ilvl w:val="0"/>
          <w:numId w:val="2"/>
        </w:numPr>
        <w:spacing w:after="60" w:before="40"/>
      </w:pPr>
      <w:r>
        <w:rPr>
          <w:rFonts w:ascii="Calibri" w:cs="Calibri" w:eastAsia="Calibri" w:hAnsi="Calibri"/>
          <w:color w:val="222222"/>
          <w:sz w:val="22"/>
          <w:szCs w:val="22"/>
        </w:rPr>
        <w:t xml:space="preserve">Protection of intellectual property, trade secrets, customer data, and proprietary systems</w:t>
      </w:r>
    </w:p>
    <w:p>
      <w:pPr>
        <w:pStyle w:val="ListParagraph"/>
        <w:numPr>
          <w:ilvl w:val="0"/>
          <w:numId w:val="2"/>
        </w:numPr>
        <w:spacing w:after="60" w:before="40"/>
      </w:pPr>
      <w:r>
        <w:rPr>
          <w:rFonts w:ascii="Calibri" w:cs="Calibri" w:eastAsia="Calibri" w:hAnsi="Calibri"/>
          <w:color w:val="222222"/>
          <w:sz w:val="22"/>
          <w:szCs w:val="22"/>
        </w:rPr>
        <w:t xml:space="preserve">Ensuring business continuity and avoiding costly operational downtime from cyberattacks</w:t>
      </w:r>
    </w:p>
    <w:p>
      <w:pPr>
        <w:pStyle w:val="ListParagraph"/>
        <w:numPr>
          <w:ilvl w:val="0"/>
          <w:numId w:val="2"/>
        </w:numPr>
        <w:spacing w:after="60" w:before="40"/>
      </w:pPr>
      <w:r>
        <w:rPr>
          <w:rFonts w:ascii="Calibri" w:cs="Calibri" w:eastAsia="Calibri" w:hAnsi="Calibri"/>
          <w:color w:val="222222"/>
          <w:sz w:val="22"/>
          <w:szCs w:val="22"/>
        </w:rPr>
        <w:t xml:space="preserve">Maintaining customer trust, brand reputation, and competitive advantage</w:t>
      </w:r>
    </w:p>
    <w:p>
      <w:pPr>
        <w:pStyle w:val="ListParagraph"/>
        <w:numPr>
          <w:ilvl w:val="0"/>
          <w:numId w:val="2"/>
        </w:numPr>
        <w:spacing w:after="60" w:before="40"/>
      </w:pPr>
      <w:r>
        <w:rPr>
          <w:rFonts w:ascii="Calibri" w:cs="Calibri" w:eastAsia="Calibri" w:hAnsi="Calibri"/>
          <w:color w:val="222222"/>
          <w:sz w:val="22"/>
          <w:szCs w:val="22"/>
        </w:rPr>
        <w:t xml:space="preserve">Achieving regulatory compliance: GDPR, HIPAA, PCI-DSS, SOC 2, ISO/IEC 27001</w:t>
      </w:r>
    </w:p>
    <w:p>
      <w:pPr>
        <w:pStyle w:val="Heading2"/>
        <w:spacing w:after="100" w:before="280"/>
      </w:pPr>
      <w:r>
        <w:rPr>
          <w:rFonts w:ascii="Calibri" w:cs="Calibri" w:eastAsia="Calibri" w:hAnsi="Calibri"/>
          <w:b/>
          <w:bCs/>
          <w:color w:val="1A56B0"/>
          <w:sz w:val="28"/>
          <w:szCs w:val="28"/>
        </w:rPr>
        <w:t xml:space="preserve">1.3 Current Relevance: Why 2024–2025 Demands Urgent Attention</w:t>
      </w:r>
    </w:p>
    <w:p>
      <w:pPr>
        <w:spacing w:after="120" w:before="60"/>
        <w:jc w:val="both"/>
      </w:pPr>
      <w:r>
        <w:rPr>
          <w:rFonts w:ascii="Calibri" w:cs="Calibri" w:eastAsia="Calibri" w:hAnsi="Calibri"/>
          <w:b w:val="false"/>
          <w:bCs w:val="false"/>
          <w:i w:val="false"/>
          <w:iCs w:val="false"/>
          <w:color w:val="222222"/>
          <w:sz w:val="22"/>
          <w:szCs w:val="22"/>
        </w:rPr>
        <w:t xml:space="preserve">Three mega-trends define the current threat landscape and make cybersecurity more critical than ever:</w:t>
      </w:r>
    </w:p>
    <w:p>
      <w:pPr>
        <w:spacing w:after="0" w:before="0"/>
      </w:pPr>
      <w:r>
        <w:t xml:space="preserve"/>
      </w:r>
    </w:p>
    <w:p>
      <w:pPr>
        <w:pStyle w:val="ListParagraph"/>
        <w:numPr>
          <w:ilvl w:val="0"/>
          <w:numId w:val="2"/>
        </w:numPr>
        <w:spacing w:after="60" w:before="40"/>
      </w:pPr>
      <w:r>
        <w:rPr>
          <w:rFonts w:ascii="Calibri" w:cs="Calibri" w:eastAsia="Calibri" w:hAnsi="Calibri"/>
          <w:b/>
          <w:bCs/>
          <w:color w:val="C0392B"/>
          <w:sz w:val="22"/>
          <w:szCs w:val="22"/>
        </w:rPr>
        <w:t xml:space="preserve">Skyrocketing Cybercrime: </w:t>
      </w:r>
      <w:r>
        <w:rPr>
          <w:rFonts w:ascii="Calibri" w:cs="Calibri" w:eastAsia="Calibri" w:hAnsi="Calibri"/>
          <w:color w:val="222222"/>
          <w:sz w:val="22"/>
          <w:szCs w:val="22"/>
        </w:rPr>
        <w:t xml:space="preserve">Global cybercrime costs are projected to hit $10.5 trillion annually by 2025 (Cybersecurity Ventures). Cyberattacks increased 38% globally in 2022 and continue to rise. A new cyberattack occurs every 39 seconds worldwide.</w:t>
      </w:r>
    </w:p>
    <w:p>
      <w:pPr>
        <w:pStyle w:val="ListParagraph"/>
        <w:numPr>
          <w:ilvl w:val="0"/>
          <w:numId w:val="2"/>
        </w:numPr>
        <w:spacing w:after="60" w:before="40"/>
      </w:pPr>
      <w:r>
        <w:rPr>
          <w:rFonts w:ascii="Calibri" w:cs="Calibri" w:eastAsia="Calibri" w:hAnsi="Calibri"/>
          <w:b/>
          <w:bCs/>
          <w:color w:val="C0392B"/>
          <w:sz w:val="22"/>
          <w:szCs w:val="22"/>
        </w:rPr>
        <w:t xml:space="preserve">Extreme Digital Dependency: </w:t>
      </w:r>
      <w:r>
        <w:rPr>
          <w:rFonts w:ascii="Calibri" w:cs="Calibri" w:eastAsia="Calibri" w:hAnsi="Calibri"/>
          <w:color w:val="222222"/>
          <w:sz w:val="22"/>
          <w:szCs w:val="22"/>
        </w:rPr>
        <w:t xml:space="preserve">With 5.4 billion internet users, over 15 billion IoT devices, and virtually every business process digitized, the attack surface has expanded to unprecedented scale. Every connected device is a potential entry point.</w:t>
      </w:r>
    </w:p>
    <w:p>
      <w:pPr>
        <w:pStyle w:val="ListParagraph"/>
        <w:numPr>
          <w:ilvl w:val="0"/>
          <w:numId w:val="2"/>
        </w:numPr>
        <w:spacing w:after="60" w:before="40"/>
      </w:pPr>
      <w:r>
        <w:rPr>
          <w:rFonts w:ascii="Calibri" w:cs="Calibri" w:eastAsia="Calibri" w:hAnsi="Calibri"/>
          <w:b/>
          <w:bCs/>
          <w:color w:val="C0392B"/>
          <w:sz w:val="22"/>
          <w:szCs w:val="22"/>
        </w:rPr>
        <w:t xml:space="preserve">AI-Driven Threat Evolution: </w:t>
      </w:r>
      <w:r>
        <w:rPr>
          <w:rFonts w:ascii="Calibri" w:cs="Calibri" w:eastAsia="Calibri" w:hAnsi="Calibri"/>
          <w:color w:val="222222"/>
          <w:sz w:val="22"/>
          <w:szCs w:val="22"/>
        </w:rPr>
        <w:t xml:space="preserve">Threat actors now leverage artificial intelligence to automate attacks at scale, craft hyper-personalized phishing emails, generate convincing deepfakes, evade detection tools, and discover vulnerabilities faster than defenders can patch them.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B" w:val="clear"/>
            <w:tcMar>
              <w:top w:type="dxa" w:w="120"/>
              <w:left w:type="dxa" w:w="200"/>
              <w:bottom w:type="dxa" w:w="120"/>
              <w:right w:type="dxa" w:w="200"/>
            </w:tcMar>
          </w:tcPr>
          <w:p>
            <w:pPr>
              <w:spacing w:after="60" w:before="0"/>
            </w:pPr>
            <w:r>
              <w:rPr>
                <w:rFonts w:ascii="Calibri" w:cs="Calibri" w:eastAsia="Calibri" w:hAnsi="Calibri"/>
                <w:b/>
                <w:bCs/>
                <w:color w:val="0D2B6E"/>
                <w:sz w:val="22"/>
                <w:szCs w:val="22"/>
              </w:rPr>
              <w:t xml:space="preserve">📊 Key Statistics (2024)</w:t>
            </w:r>
          </w:p>
          <w:p>
            <w:pPr>
              <w:spacing w:after="0" w:before="0"/>
              <w:jc w:val="both"/>
            </w:pPr>
            <w:r>
              <w:rPr>
                <w:rFonts w:ascii="Calibri" w:cs="Calibri" w:eastAsia="Calibri" w:hAnsi="Calibri"/>
                <w:color w:val="333333"/>
                <w:sz w:val="21"/>
                <w:szCs w:val="21"/>
              </w:rPr>
              <w:t xml:space="preserve">• Ransomware attacks cost businesses over $20 billion in 2023 — projected to triple by 2025
• 82% of breaches involve human elements (IBM Cost of Data Breach Report 2024)
• Healthcare, finance, and government sectors remain the top three most targeted industries
• Supply chain attacks grew 742% between 2019–2022 and continue to accelerate</w:t>
            </w:r>
          </w:p>
        </w:tc>
      </w:tr>
    </w:tbl>
    <w:p>
      <w:r>
        <w:br/>
      </w:r>
    </w:p>
    <w:p>
      <w:pPr>
        <w:pStyle w:val="Heading1"/>
        <w:pBdr>
          <w:bottom w:val="single" w:color="1A56B0" w:sz="10" w:space="6"/>
        </w:pBdr>
        <w:spacing w:after="160" w:before="400"/>
      </w:pPr>
      <w:r>
        <w:rPr>
          <w:rFonts w:ascii="Calibri" w:cs="Calibri" w:eastAsia="Calibri" w:hAnsi="Calibri"/>
          <w:b/>
          <w:bCs/>
          <w:caps/>
          <w:color w:val="0D2B6E"/>
          <w:sz w:val="34"/>
          <w:szCs w:val="34"/>
        </w:rPr>
        <w:t xml:space="preserve">2. Five Major Modern Cyber Threats (2024–2025)</w:t>
      </w:r>
    </w:p>
    <w:p>
      <w:pPr>
        <w:spacing w:after="120" w:before="60"/>
        <w:jc w:val="both"/>
      </w:pPr>
      <w:r>
        <w:rPr>
          <w:rFonts w:ascii="Calibri" w:cs="Calibri" w:eastAsia="Calibri" w:hAnsi="Calibri"/>
          <w:b w:val="false"/>
          <w:bCs w:val="false"/>
          <w:i w:val="false"/>
          <w:iCs w:val="false"/>
          <w:color w:val="222222"/>
          <w:sz w:val="22"/>
          <w:szCs w:val="22"/>
        </w:rPr>
        <w:t xml:space="preserve">The following five threats represent the most dangerous, prevalent, and rapidly evolving cybersecurity risks faced by individuals and organizations globally in 2024–2025. Each is analyzed through attack methodology, real-world impact, case studies, and defense strategies.</w:t>
      </w:r>
    </w:p>
    <w:p>
      <w:pPr>
        <w:spacing w:after="0" w:before="0"/>
      </w:pPr>
      <w:r>
        <w:t xml:space="preserve"/>
      </w:r>
    </w:p>
    <w:p>
      <w:pPr>
        <w:pStyle w:val="Heading2"/>
        <w:spacing w:after="100" w:before="280"/>
      </w:pPr>
      <w:r>
        <w:rPr>
          <w:rFonts w:ascii="Calibri" w:cs="Calibri" w:eastAsia="Calibri" w:hAnsi="Calibri"/>
          <w:b/>
          <w:bCs/>
          <w:color w:val="1A56B0"/>
          <w:sz w:val="28"/>
          <w:szCs w:val="28"/>
        </w:rPr>
        <w:t xml:space="preserve">2.1  AI-Powered Phishing Attacks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FDECEA" w:val="clear"/>
            <w:tcMar>
              <w:top w:type="dxa" w:w="60"/>
              <w:left w:type="dxa" w:w="140"/>
              <w:bottom w:type="dxa" w:w="60"/>
              <w:right w:type="dxa" w:w="140"/>
            </w:tcMar>
          </w:tcPr>
          <w:p>
            <w:pPr>
              <w:jc w:val="center"/>
            </w:pPr>
            <w:r>
              <w:rPr>
                <w:rFonts w:ascii="Calibri" w:cs="Calibri" w:eastAsia="Calibri" w:hAnsi="Calibri"/>
                <w:b/>
                <w:bCs/>
                <w:color w:val="C0392B"/>
                <w:sz w:val="21"/>
                <w:szCs w:val="21"/>
              </w:rPr>
              <w:t xml:space="preserve">⚠  Severity: CRITICAL</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Overview &amp; Attack Methodology</w:t>
      </w:r>
    </w:p>
    <w:p>
      <w:pPr>
        <w:spacing w:after="120" w:before="60"/>
        <w:jc w:val="both"/>
      </w:pPr>
      <w:r>
        <w:rPr>
          <w:rFonts w:ascii="Calibri" w:cs="Calibri" w:eastAsia="Calibri" w:hAnsi="Calibri"/>
          <w:b w:val="false"/>
          <w:bCs w:val="false"/>
          <w:i w:val="false"/>
          <w:iCs w:val="false"/>
          <w:color w:val="222222"/>
          <w:sz w:val="22"/>
          <w:szCs w:val="22"/>
        </w:rPr>
        <w:t xml:space="preserve">Phishing has existed since the 1990s, but artificial intelligence has transformed it from crude mass-emails into precision-guided cyber weapons. AI-powered phishing uses large language models (LLMs), deepfake audio/video, and automated reconnaissance to craft attacks that are nearly indistinguishable from legitimate communications.</w:t>
      </w:r>
    </w:p>
    <w:p>
      <w:pPr>
        <w:pStyle w:val="ListParagraph"/>
        <w:numPr>
          <w:ilvl w:val="0"/>
          <w:numId w:val="2"/>
        </w:numPr>
        <w:spacing w:after="60" w:before="40"/>
      </w:pPr>
      <w:r>
        <w:rPr>
          <w:rFonts w:ascii="Calibri" w:cs="Calibri" w:eastAsia="Calibri" w:hAnsi="Calibri"/>
          <w:b/>
          <w:bCs/>
          <w:color w:val="0D2B6E"/>
          <w:sz w:val="22"/>
          <w:szCs w:val="22"/>
        </w:rPr>
        <w:t xml:space="preserve">Spear Phishing: </w:t>
      </w:r>
      <w:r>
        <w:rPr>
          <w:rFonts w:ascii="Calibri" w:cs="Calibri" w:eastAsia="Calibri" w:hAnsi="Calibri"/>
          <w:color w:val="222222"/>
          <w:sz w:val="22"/>
          <w:szCs w:val="22"/>
        </w:rPr>
        <w:t xml:space="preserve">AI scrapes LinkedIn, social media, and company websites to create hyper-personalized emails targeting specific individuals with context they'd only expect from a trusted contact.</w:t>
      </w:r>
    </w:p>
    <w:p>
      <w:pPr>
        <w:pStyle w:val="ListParagraph"/>
        <w:numPr>
          <w:ilvl w:val="0"/>
          <w:numId w:val="2"/>
        </w:numPr>
        <w:spacing w:after="60" w:before="40"/>
      </w:pPr>
      <w:r>
        <w:rPr>
          <w:rFonts w:ascii="Calibri" w:cs="Calibri" w:eastAsia="Calibri" w:hAnsi="Calibri"/>
          <w:b/>
          <w:bCs/>
          <w:color w:val="0D2B6E"/>
          <w:sz w:val="22"/>
          <w:szCs w:val="22"/>
        </w:rPr>
        <w:t xml:space="preserve">Deepfake Attacks: </w:t>
      </w:r>
      <w:r>
        <w:rPr>
          <w:rFonts w:ascii="Calibri" w:cs="Calibri" w:eastAsia="Calibri" w:hAnsi="Calibri"/>
          <w:color w:val="222222"/>
          <w:sz w:val="22"/>
          <w:szCs w:val="22"/>
        </w:rPr>
        <w:t xml:space="preserve">AI-generated voice and video clones impersonate executives (CEO fraud) in calls and video meetings to authorize fraudulent wire transfers — a technique called Business Email Compromise (BEC).</w:t>
      </w:r>
    </w:p>
    <w:p>
      <w:pPr>
        <w:pStyle w:val="ListParagraph"/>
        <w:numPr>
          <w:ilvl w:val="0"/>
          <w:numId w:val="2"/>
        </w:numPr>
        <w:spacing w:after="60" w:before="40"/>
      </w:pPr>
      <w:r>
        <w:rPr>
          <w:rFonts w:ascii="Calibri" w:cs="Calibri" w:eastAsia="Calibri" w:hAnsi="Calibri"/>
          <w:b/>
          <w:bCs/>
          <w:color w:val="0D2B6E"/>
          <w:sz w:val="22"/>
          <w:szCs w:val="22"/>
        </w:rPr>
        <w:t xml:space="preserve">Vishing &amp; Smishing: </w:t>
      </w:r>
      <w:r>
        <w:rPr>
          <w:rFonts w:ascii="Calibri" w:cs="Calibri" w:eastAsia="Calibri" w:hAnsi="Calibri"/>
          <w:color w:val="222222"/>
          <w:sz w:val="22"/>
          <w:szCs w:val="22"/>
        </w:rPr>
        <w:t xml:space="preserve">AI voice cloning enables real-time phone impersonation; SMS phishing delivers malicious links disguised as banks, government agencies, or delivery services.</w:t>
      </w:r>
    </w:p>
    <w:p>
      <w:pPr>
        <w:pStyle w:val="ListParagraph"/>
        <w:numPr>
          <w:ilvl w:val="0"/>
          <w:numId w:val="2"/>
        </w:numPr>
        <w:spacing w:after="60" w:before="40"/>
      </w:pPr>
      <w:r>
        <w:rPr>
          <w:rFonts w:ascii="Calibri" w:cs="Calibri" w:eastAsia="Calibri" w:hAnsi="Calibri"/>
          <w:b/>
          <w:bCs/>
          <w:color w:val="0D2B6E"/>
          <w:sz w:val="22"/>
          <w:szCs w:val="22"/>
        </w:rPr>
        <w:t xml:space="preserve">Automated Social Engineering: </w:t>
      </w:r>
      <w:r>
        <w:rPr>
          <w:rFonts w:ascii="Calibri" w:cs="Calibri" w:eastAsia="Calibri" w:hAnsi="Calibri"/>
          <w:color w:val="222222"/>
          <w:sz w:val="22"/>
          <w:szCs w:val="22"/>
        </w:rPr>
        <w:t xml:space="preserve">AI chatbots conduct multi-turn phishing conversations via email or chat, adapting responses to maintain deception far longer than human attackers could.</w:t>
      </w:r>
    </w:p>
    <w:p>
      <w:pPr>
        <w:spacing w:after="0" w:before="0"/>
      </w:pPr>
      <w:r>
        <w:t xml:space="preserve"/>
      </w:r>
    </w:p>
    <w:p>
      <w:pPr>
        <w:pStyle w:val="Heading3"/>
        <w:spacing w:after="80" w:before="200"/>
      </w:pPr>
      <w:r>
        <w:rPr>
          <w:rFonts w:ascii="Calibri" w:cs="Calibri" w:eastAsia="Calibri" w:hAnsi="Calibri"/>
          <w:b/>
          <w:bCs/>
          <w:color w:val="D35400"/>
          <w:sz w:val="24"/>
          <w:szCs w:val="24"/>
        </w:rPr>
        <w:t xml:space="preserve">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40" w:before="0"/>
            </w:pPr>
            <w:r>
              <w:rPr>
                <w:rFonts w:ascii="Calibri" w:cs="Calibri" w:eastAsia="Calibri" w:hAnsi="Calibri"/>
                <w:b/>
                <w:bCs/>
                <w:color w:val="C0392B"/>
                <w:sz w:val="21"/>
                <w:szCs w:val="21"/>
              </w:rPr>
              <w:t xml:space="preserve">👤 Impact on Individuals</w:t>
            </w:r>
          </w:p>
          <w:p>
            <w:pPr>
              <w:spacing w:after="0" w:before="0"/>
              <w:jc w:val="both"/>
            </w:pPr>
            <w:r>
              <w:rPr>
                <w:rFonts w:ascii="Calibri" w:cs="Calibri" w:eastAsia="Calibri" w:hAnsi="Calibri"/>
                <w:color w:val="333333"/>
                <w:sz w:val="20"/>
                <w:szCs w:val="20"/>
              </w:rPr>
              <w:t xml:space="preserve">• Credential theft leading to account takeover
• Financial fraud and unauthorized bank transfers
• Identity theft causing long-term credit damage
• Exposure of private photos, documents, and communications
• Emotional distress and violation of personal privacy</w:t>
            </w:r>
          </w:p>
        </w:tc>
        <w:tc>
          <w:tcPr>
            <w:tcW w:type="dxa" w:w="4680"/>
            <w:tcBorders>
              <w:top w:val="single" w:color="CCCCCC" w:sz="1"/>
              <w:left w:val="single" w:color="CCCCCC" w:sz="1"/>
              <w:bottom w:val="single" w:color="CCCCCC" w:sz="1"/>
              <w:right w:val="single" w:color="CCCCCC" w:sz="1"/>
            </w:tcBorders>
            <w:shd w:fill="FEF3E2" w:val="clear"/>
            <w:tcMar>
              <w:top w:type="dxa" w:w="100"/>
              <w:left w:type="dxa" w:w="160"/>
              <w:bottom w:type="dxa" w:w="100"/>
              <w:right w:type="dxa" w:w="160"/>
            </w:tcMar>
          </w:tcPr>
          <w:p>
            <w:pPr>
              <w:spacing w:after="40" w:before="0"/>
            </w:pPr>
            <w:r>
              <w:rPr>
                <w:rFonts w:ascii="Calibri" w:cs="Calibri" w:eastAsia="Calibri" w:hAnsi="Calibri"/>
                <w:b/>
                <w:bCs/>
                <w:color w:val="D35400"/>
                <w:sz w:val="21"/>
                <w:szCs w:val="21"/>
              </w:rPr>
              <w:t xml:space="preserve">🏢 Impact on Organizations</w:t>
            </w:r>
          </w:p>
          <w:p>
            <w:pPr>
              <w:spacing w:after="0" w:before="0"/>
              <w:jc w:val="both"/>
            </w:pPr>
            <w:r>
              <w:rPr>
                <w:rFonts w:ascii="Calibri" w:cs="Calibri" w:eastAsia="Calibri" w:hAnsi="Calibri"/>
                <w:color w:val="333333"/>
                <w:sz w:val="20"/>
                <w:szCs w:val="20"/>
              </w:rPr>
              <w:t xml:space="preserve">• BEC fraud — FBI IC3 reports $2.9B lost in 2023 alone
• Credential harvesting enabling network infiltration
• Ransomware delivery via malicious attachments
• Data breaches triggering regulatory fines (GDPR up to 4% turnover)
• Severe reputational damage and customer loss</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Real-World Case Study: MGM Resorts Social Engineering Attack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B" w:val="clear"/>
            <w:tcMar>
              <w:top w:type="dxa" w:w="120"/>
              <w:left w:type="dxa" w:w="200"/>
              <w:bottom w:type="dxa" w:w="120"/>
              <w:right w:type="dxa" w:w="200"/>
            </w:tcMar>
          </w:tcPr>
          <w:p>
            <w:pPr>
              <w:spacing w:after="60" w:before="0"/>
            </w:pPr>
            <w:r>
              <w:rPr>
                <w:rFonts w:ascii="Calibri" w:cs="Calibri" w:eastAsia="Calibri" w:hAnsi="Calibri"/>
                <w:b/>
                <w:bCs/>
                <w:color w:val="0D2B6E"/>
                <w:sz w:val="22"/>
                <w:szCs w:val="22"/>
              </w:rPr>
              <w:t xml:space="preserve">📋 Case Study — MGM Resorts International (September 2023)</w:t>
            </w:r>
          </w:p>
          <w:p>
            <w:pPr>
              <w:spacing w:after="0" w:before="0"/>
              <w:jc w:val="both"/>
            </w:pPr>
            <w:r>
              <w:rPr>
                <w:rFonts w:ascii="Calibri" w:cs="Calibri" w:eastAsia="Calibri" w:hAnsi="Calibri"/>
                <w:color w:val="333333"/>
                <w:sz w:val="21"/>
                <w:szCs w:val="21"/>
              </w:rPr>
              <w:t xml:space="preserve">Attackers from the group 'Scattered Spider' used a 10-minute LinkedIn-researched vishing call to impersonate an MGM employee to the IT helpdesk, gaining network access without any technical hacking. The resulting breach shut down casino slot machines, hotel check-in systems, digital key cards, and ATMs across Las Vegas properties for 10+ days. MGM suffered $100+ million in operational losses, $10 million in cleanup costs, and exposed personal data of millions of customers. This attack required zero technical sophistication — pure AI-assisted social engineering.</w:t>
            </w:r>
          </w:p>
        </w:tc>
      </w:tr>
    </w:tbl>
    <w:p>
      <w:r>
        <w:br/>
      </w:r>
    </w:p>
    <w:p>
      <w:pPr>
        <w:pStyle w:val="Heading2"/>
        <w:spacing w:after="100" w:before="280"/>
      </w:pPr>
      <w:r>
        <w:rPr>
          <w:rFonts w:ascii="Calibri" w:cs="Calibri" w:eastAsia="Calibri" w:hAnsi="Calibri"/>
          <w:b/>
          <w:bCs/>
          <w:color w:val="1A56B0"/>
          <w:sz w:val="28"/>
          <w:szCs w:val="28"/>
        </w:rPr>
        <w:t xml:space="preserve">2.2  Ransomware-as-a-Service (RaaS)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FDECEA" w:val="clear"/>
            <w:tcMar>
              <w:top w:type="dxa" w:w="60"/>
              <w:left w:type="dxa" w:w="140"/>
              <w:bottom w:type="dxa" w:w="60"/>
              <w:right w:type="dxa" w:w="140"/>
            </w:tcMar>
          </w:tcPr>
          <w:p>
            <w:pPr>
              <w:jc w:val="center"/>
            </w:pPr>
            <w:r>
              <w:rPr>
                <w:rFonts w:ascii="Calibri" w:cs="Calibri" w:eastAsia="Calibri" w:hAnsi="Calibri"/>
                <w:b/>
                <w:bCs/>
                <w:color w:val="C0392B"/>
                <w:sz w:val="21"/>
                <w:szCs w:val="21"/>
              </w:rPr>
              <w:t xml:space="preserve">⚠  Severity: CRITICAL</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Overview &amp; Attack Methodology</w:t>
      </w:r>
    </w:p>
    <w:p>
      <w:pPr>
        <w:spacing w:after="120" w:before="60"/>
        <w:jc w:val="both"/>
      </w:pPr>
      <w:r>
        <w:rPr>
          <w:rFonts w:ascii="Calibri" w:cs="Calibri" w:eastAsia="Calibri" w:hAnsi="Calibri"/>
          <w:b w:val="false"/>
          <w:bCs w:val="false"/>
          <w:i w:val="false"/>
          <w:iCs w:val="false"/>
          <w:color w:val="222222"/>
          <w:sz w:val="22"/>
          <w:szCs w:val="22"/>
        </w:rPr>
        <w:t xml:space="preserve">Ransomware-as-a-Service (RaaS) is a criminal business model where malware developers build sophisticated ransomware platforms — complete with dashboards, encryption engines, and customer support — and lease them to affiliates (non-technical criminals) for a revenue share of 20–30%. This democratization of cybercrime has caused an explosion in ransomware attacks globally.</w:t>
      </w:r>
    </w:p>
    <w:p>
      <w:pPr>
        <w:pStyle w:val="ListParagraph"/>
        <w:numPr>
          <w:ilvl w:val="0"/>
          <w:numId w:val="2"/>
        </w:numPr>
        <w:spacing w:after="60" w:before="40"/>
      </w:pPr>
      <w:r>
        <w:rPr>
          <w:rFonts w:ascii="Calibri" w:cs="Calibri" w:eastAsia="Calibri" w:hAnsi="Calibri"/>
          <w:b/>
          <w:bCs/>
          <w:color w:val="0D2B6E"/>
          <w:sz w:val="22"/>
          <w:szCs w:val="22"/>
        </w:rPr>
        <w:t xml:space="preserve">Initial Access: </w:t>
      </w:r>
      <w:r>
        <w:rPr>
          <w:rFonts w:ascii="Calibri" w:cs="Calibri" w:eastAsia="Calibri" w:hAnsi="Calibri"/>
          <w:color w:val="222222"/>
          <w:sz w:val="22"/>
          <w:szCs w:val="22"/>
        </w:rPr>
        <w:t xml:space="preserve">Gained via phishing emails, brute-forced RDP credentials, exploited VPN vulnerabilities, or purchasing stolen credentials from initial access brokers on dark web markets.</w:t>
      </w:r>
    </w:p>
    <w:p>
      <w:pPr>
        <w:pStyle w:val="ListParagraph"/>
        <w:numPr>
          <w:ilvl w:val="0"/>
          <w:numId w:val="2"/>
        </w:numPr>
        <w:spacing w:after="60" w:before="40"/>
      </w:pPr>
      <w:r>
        <w:rPr>
          <w:rFonts w:ascii="Calibri" w:cs="Calibri" w:eastAsia="Calibri" w:hAnsi="Calibri"/>
          <w:b/>
          <w:bCs/>
          <w:color w:val="0D2B6E"/>
          <w:sz w:val="22"/>
          <w:szCs w:val="22"/>
        </w:rPr>
        <w:t xml:space="preserve">Lateral Movement: </w:t>
      </w:r>
      <w:r>
        <w:rPr>
          <w:rFonts w:ascii="Calibri" w:cs="Calibri" w:eastAsia="Calibri" w:hAnsi="Calibri"/>
          <w:color w:val="222222"/>
          <w:sz w:val="22"/>
          <w:szCs w:val="22"/>
        </w:rPr>
        <w:t xml:space="preserve">Attackers quietly explore the network for weeks, escalating privileges, identifying backups, and mapping critical systems before detonating the ransomware payload.</w:t>
      </w:r>
    </w:p>
    <w:p>
      <w:pPr>
        <w:pStyle w:val="ListParagraph"/>
        <w:numPr>
          <w:ilvl w:val="0"/>
          <w:numId w:val="2"/>
        </w:numPr>
        <w:spacing w:after="60" w:before="40"/>
      </w:pPr>
      <w:r>
        <w:rPr>
          <w:rFonts w:ascii="Calibri" w:cs="Calibri" w:eastAsia="Calibri" w:hAnsi="Calibri"/>
          <w:b/>
          <w:bCs/>
          <w:color w:val="0D2B6E"/>
          <w:sz w:val="22"/>
          <w:szCs w:val="22"/>
        </w:rPr>
        <w:t xml:space="preserve">Double Extortion: </w:t>
      </w:r>
      <w:r>
        <w:rPr>
          <w:rFonts w:ascii="Calibri" w:cs="Calibri" w:eastAsia="Calibri" w:hAnsi="Calibri"/>
          <w:color w:val="222222"/>
          <w:sz w:val="22"/>
          <w:szCs w:val="22"/>
        </w:rPr>
        <w:t xml:space="preserve">Data is exfiltrated BEFORE encryption. Victims face two threats: pay to decrypt files AND pay to prevent publication of stolen data on dark web leak sites.</w:t>
      </w:r>
    </w:p>
    <w:p>
      <w:pPr>
        <w:pStyle w:val="ListParagraph"/>
        <w:numPr>
          <w:ilvl w:val="0"/>
          <w:numId w:val="2"/>
        </w:numPr>
        <w:spacing w:after="60" w:before="40"/>
      </w:pPr>
      <w:r>
        <w:rPr>
          <w:rFonts w:ascii="Calibri" w:cs="Calibri" w:eastAsia="Calibri" w:hAnsi="Calibri"/>
          <w:b/>
          <w:bCs/>
          <w:color w:val="0D2B6E"/>
          <w:sz w:val="22"/>
          <w:szCs w:val="22"/>
        </w:rPr>
        <w:t xml:space="preserve">Triple Extortion: </w:t>
      </w:r>
      <w:r>
        <w:rPr>
          <w:rFonts w:ascii="Calibri" w:cs="Calibri" w:eastAsia="Calibri" w:hAnsi="Calibri"/>
          <w:color w:val="222222"/>
          <w:sz w:val="22"/>
          <w:szCs w:val="22"/>
        </w:rPr>
        <w:t xml:space="preserve">Emerging 2024 trend — attackers additionally threaten to DDoS the victim's website or contact their customers/partners directly to amplify pressure.</w:t>
      </w:r>
    </w:p>
    <w:p>
      <w:pPr>
        <w:pStyle w:val="ListParagraph"/>
        <w:numPr>
          <w:ilvl w:val="0"/>
          <w:numId w:val="2"/>
        </w:numPr>
        <w:spacing w:after="60" w:before="40"/>
      </w:pPr>
      <w:r>
        <w:rPr>
          <w:rFonts w:ascii="Calibri" w:cs="Calibri" w:eastAsia="Calibri" w:hAnsi="Calibri"/>
          <w:b/>
          <w:bCs/>
          <w:color w:val="0D2B6E"/>
          <w:sz w:val="22"/>
          <w:szCs w:val="22"/>
        </w:rPr>
        <w:t xml:space="preserve">Cryptocurrency Ransom: </w:t>
      </w:r>
      <w:r>
        <w:rPr>
          <w:rFonts w:ascii="Calibri" w:cs="Calibri" w:eastAsia="Calibri" w:hAnsi="Calibri"/>
          <w:color w:val="222222"/>
          <w:sz w:val="22"/>
          <w:szCs w:val="22"/>
        </w:rPr>
        <w:t xml:space="preserve">Payments demanded in Monero (privacy coin) or Bitcoin; average enterprise ransom demand exceeded $2 million in 2024.</w:t>
      </w:r>
    </w:p>
    <w:p>
      <w:pPr>
        <w:spacing w:after="0" w:before="0"/>
      </w:pPr>
      <w:r>
        <w:t xml:space="preserve"/>
      </w:r>
    </w:p>
    <w:p>
      <w:pPr>
        <w:pStyle w:val="Heading3"/>
        <w:spacing w:after="80" w:before="200"/>
      </w:pPr>
      <w:r>
        <w:rPr>
          <w:rFonts w:ascii="Calibri" w:cs="Calibri" w:eastAsia="Calibri" w:hAnsi="Calibri"/>
          <w:b/>
          <w:bCs/>
          <w:color w:val="D35400"/>
          <w:sz w:val="24"/>
          <w:szCs w:val="24"/>
        </w:rPr>
        <w:t xml:space="preserve">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40" w:before="0"/>
            </w:pPr>
            <w:r>
              <w:rPr>
                <w:rFonts w:ascii="Calibri" w:cs="Calibri" w:eastAsia="Calibri" w:hAnsi="Calibri"/>
                <w:b/>
                <w:bCs/>
                <w:color w:val="C0392B"/>
                <w:sz w:val="21"/>
                <w:szCs w:val="21"/>
              </w:rPr>
              <w:t xml:space="preserve">👤 Impact on Individuals</w:t>
            </w:r>
          </w:p>
          <w:p>
            <w:pPr>
              <w:spacing w:after="0" w:before="0"/>
              <w:jc w:val="both"/>
            </w:pPr>
            <w:r>
              <w:rPr>
                <w:rFonts w:ascii="Calibri" w:cs="Calibri" w:eastAsia="Calibri" w:hAnsi="Calibri"/>
                <w:color w:val="333333"/>
                <w:sz w:val="20"/>
                <w:szCs w:val="20"/>
              </w:rPr>
              <w:t xml:space="preserve">• Encryption of personal files, family photos, tax documents with no free recovery
• Financial extortion demanding $300–$3,000 from individuals
• Permanent data loss if ransom unpaid and no backup exists
• Emotional distress especially when irreplaceable data lost</w:t>
            </w:r>
          </w:p>
        </w:tc>
        <w:tc>
          <w:tcPr>
            <w:tcW w:type="dxa" w:w="4680"/>
            <w:tcBorders>
              <w:top w:val="single" w:color="CCCCCC" w:sz="1"/>
              <w:left w:val="single" w:color="CCCCCC" w:sz="1"/>
              <w:bottom w:val="single" w:color="CCCCCC" w:sz="1"/>
              <w:right w:val="single" w:color="CCCCCC" w:sz="1"/>
            </w:tcBorders>
            <w:shd w:fill="FEF3E2" w:val="clear"/>
            <w:tcMar>
              <w:top w:type="dxa" w:w="100"/>
              <w:left w:type="dxa" w:w="160"/>
              <w:bottom w:type="dxa" w:w="100"/>
              <w:right w:type="dxa" w:w="160"/>
            </w:tcMar>
          </w:tcPr>
          <w:p>
            <w:pPr>
              <w:spacing w:after="40" w:before="0"/>
            </w:pPr>
            <w:r>
              <w:rPr>
                <w:rFonts w:ascii="Calibri" w:cs="Calibri" w:eastAsia="Calibri" w:hAnsi="Calibri"/>
                <w:b/>
                <w:bCs/>
                <w:color w:val="D35400"/>
                <w:sz w:val="21"/>
                <w:szCs w:val="21"/>
              </w:rPr>
              <w:t xml:space="preserve">🏢 Impact on Organizations</w:t>
            </w:r>
          </w:p>
          <w:p>
            <w:pPr>
              <w:spacing w:after="0" w:before="0"/>
              <w:jc w:val="both"/>
            </w:pPr>
            <w:r>
              <w:rPr>
                <w:rFonts w:ascii="Calibri" w:cs="Calibri" w:eastAsia="Calibri" w:hAnsi="Calibri"/>
                <w:color w:val="333333"/>
                <w:sz w:val="20"/>
                <w:szCs w:val="20"/>
              </w:rPr>
              <w:t xml:space="preserve">• Complete operational shutdown — hospitals, factories, banks paralyzed
• Average total cost including downtime: $5.13M per incident (2024)
• Data breach liability for exposed customer information
• Regulatory fines under HIPAA, GDPR for inadequate protection
• Long-term reputational damage and client contract cancellations</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Real-World Case Study: Change Healthcare Ransomware Attack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B" w:val="clear"/>
            <w:tcMar>
              <w:top w:type="dxa" w:w="120"/>
              <w:left w:type="dxa" w:w="200"/>
              <w:bottom w:type="dxa" w:w="120"/>
              <w:right w:type="dxa" w:w="200"/>
            </w:tcMar>
          </w:tcPr>
          <w:p>
            <w:pPr>
              <w:spacing w:after="60" w:before="0"/>
            </w:pPr>
            <w:r>
              <w:rPr>
                <w:rFonts w:ascii="Calibri" w:cs="Calibri" w:eastAsia="Calibri" w:hAnsi="Calibri"/>
                <w:b/>
                <w:bCs/>
                <w:color w:val="0D2B6E"/>
                <w:sz w:val="22"/>
                <w:szCs w:val="22"/>
              </w:rPr>
              <w:t xml:space="preserve">📋 Case Study — Change Healthcare / UnitedHealth Group (February 2024)</w:t>
            </w:r>
          </w:p>
          <w:p>
            <w:pPr>
              <w:spacing w:after="0" w:before="0"/>
              <w:jc w:val="both"/>
            </w:pPr>
            <w:r>
              <w:rPr>
                <w:rFonts w:ascii="Calibri" w:cs="Calibri" w:eastAsia="Calibri" w:hAnsi="Calibri"/>
                <w:color w:val="333333"/>
                <w:sz w:val="21"/>
                <w:szCs w:val="21"/>
              </w:rPr>
              <w:t xml:space="preserve">The ALPHV/BlackCat RaaS group breached Change Healthcare — a subsidiary of UnitedHealth Group processing 15 billion medical transactions annually for 70,000+ US pharmacies. A single set of compromised Citrix credentials without MFA enabled access. The attack encrypted critical systems, disrupting prescription processing nationwide for 3+ weeks. Hospitals couldn't verify patient insurance; pharmacies couldn't process prescriptions; patients couldn't access medications. UnitedHealth paid a $22 million ransom. Total estimated damages exceeded $1.6 billion — the most damaging healthcare cyberattack in US history.</w:t>
            </w:r>
          </w:p>
        </w:tc>
      </w:tr>
    </w:tbl>
    <w:p>
      <w:r>
        <w:br/>
      </w:r>
    </w:p>
    <w:p>
      <w:pPr>
        <w:pStyle w:val="Heading2"/>
        <w:spacing w:after="100" w:before="280"/>
      </w:pPr>
      <w:r>
        <w:rPr>
          <w:rFonts w:ascii="Calibri" w:cs="Calibri" w:eastAsia="Calibri" w:hAnsi="Calibri"/>
          <w:b/>
          <w:bCs/>
          <w:color w:val="1A56B0"/>
          <w:sz w:val="28"/>
          <w:szCs w:val="28"/>
        </w:rPr>
        <w:t xml:space="preserve">2.3  Cloud Security Misconfigurations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FEF3E2" w:val="clear"/>
            <w:tcMar>
              <w:top w:type="dxa" w:w="60"/>
              <w:left w:type="dxa" w:w="140"/>
              <w:bottom w:type="dxa" w:w="60"/>
              <w:right w:type="dxa" w:w="140"/>
            </w:tcMar>
          </w:tcPr>
          <w:p>
            <w:pPr>
              <w:jc w:val="center"/>
            </w:pPr>
            <w:r>
              <w:rPr>
                <w:rFonts w:ascii="Calibri" w:cs="Calibri" w:eastAsia="Calibri" w:hAnsi="Calibri"/>
                <w:b/>
                <w:bCs/>
                <w:color w:val="D35400"/>
                <w:sz w:val="21"/>
                <w:szCs w:val="21"/>
              </w:rPr>
              <w:t xml:space="preserve">⚠  Severity: HIGH</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Overview &amp; Attack Methodology</w:t>
      </w:r>
    </w:p>
    <w:p>
      <w:pPr>
        <w:spacing w:after="120" w:before="60"/>
        <w:jc w:val="both"/>
      </w:pPr>
      <w:r>
        <w:rPr>
          <w:rFonts w:ascii="Calibri" w:cs="Calibri" w:eastAsia="Calibri" w:hAnsi="Calibri"/>
          <w:b w:val="false"/>
          <w:bCs w:val="false"/>
          <w:i w:val="false"/>
          <w:iCs w:val="false"/>
          <w:color w:val="222222"/>
          <w:sz w:val="22"/>
          <w:szCs w:val="22"/>
        </w:rPr>
        <w:t xml:space="preserve">Cloud misconfiguration is the #1 cause of cloud data breaches, responsible for over 80% of cloud security incidents. As organizations migrate to AWS, Microsoft Azure, and Google Cloud Platform (GCP), configuration errors — not software vulnerabilities — expose sensitive data to the public internet. The complexity of cloud environments makes misconfigurations surprisingly easy to make and dangerously hard to detect.</w:t>
      </w:r>
    </w:p>
    <w:p>
      <w:pPr>
        <w:pStyle w:val="ListParagraph"/>
        <w:numPr>
          <w:ilvl w:val="0"/>
          <w:numId w:val="2"/>
        </w:numPr>
        <w:spacing w:after="60" w:before="40"/>
      </w:pPr>
      <w:r>
        <w:rPr>
          <w:rFonts w:ascii="Calibri" w:cs="Calibri" w:eastAsia="Calibri" w:hAnsi="Calibri"/>
          <w:b/>
          <w:bCs/>
          <w:color w:val="0D2B6E"/>
          <w:sz w:val="22"/>
          <w:szCs w:val="22"/>
        </w:rPr>
        <w:t xml:space="preserve">Public Storage Buckets: </w:t>
      </w:r>
      <w:r>
        <w:rPr>
          <w:rFonts w:ascii="Calibri" w:cs="Calibri" w:eastAsia="Calibri" w:hAnsi="Calibri"/>
          <w:color w:val="222222"/>
          <w:sz w:val="22"/>
          <w:szCs w:val="22"/>
        </w:rPr>
        <w:t xml:space="preserve">AWS S3, Azure Blob Storage, or GCP buckets accidentally set to public read access, exposing databases, backups, source code, and customer records to anyone on the internet.</w:t>
      </w:r>
    </w:p>
    <w:p>
      <w:pPr>
        <w:pStyle w:val="ListParagraph"/>
        <w:numPr>
          <w:ilvl w:val="0"/>
          <w:numId w:val="2"/>
        </w:numPr>
        <w:spacing w:after="60" w:before="40"/>
      </w:pPr>
      <w:r>
        <w:rPr>
          <w:rFonts w:ascii="Calibri" w:cs="Calibri" w:eastAsia="Calibri" w:hAnsi="Calibri"/>
          <w:b/>
          <w:bCs/>
          <w:color w:val="0D2B6E"/>
          <w:sz w:val="22"/>
          <w:szCs w:val="22"/>
        </w:rPr>
        <w:t xml:space="preserve">Overpermissive IAM Roles: </w:t>
      </w:r>
      <w:r>
        <w:rPr>
          <w:rFonts w:ascii="Calibri" w:cs="Calibri" w:eastAsia="Calibri" w:hAnsi="Calibri"/>
          <w:color w:val="222222"/>
          <w:sz w:val="22"/>
          <w:szCs w:val="22"/>
        </w:rPr>
        <w:t xml:space="preserve">Identity and Access Management roles granting excessive privileges (e.g., full admin access to all services) violate least-privilege principles and enable broad compromise from a single stolen credential.</w:t>
      </w:r>
    </w:p>
    <w:p>
      <w:pPr>
        <w:pStyle w:val="ListParagraph"/>
        <w:numPr>
          <w:ilvl w:val="0"/>
          <w:numId w:val="2"/>
        </w:numPr>
        <w:spacing w:after="60" w:before="40"/>
      </w:pPr>
      <w:r>
        <w:rPr>
          <w:rFonts w:ascii="Calibri" w:cs="Calibri" w:eastAsia="Calibri" w:hAnsi="Calibri"/>
          <w:b/>
          <w:bCs/>
          <w:color w:val="0D2B6E"/>
          <w:sz w:val="22"/>
          <w:szCs w:val="22"/>
        </w:rPr>
        <w:t xml:space="preserve">Exposed Secrets in Code: </w:t>
      </w:r>
      <w:r>
        <w:rPr>
          <w:rFonts w:ascii="Calibri" w:cs="Calibri" w:eastAsia="Calibri" w:hAnsi="Calibri"/>
          <w:color w:val="222222"/>
          <w:sz w:val="22"/>
          <w:szCs w:val="22"/>
        </w:rPr>
        <w:t xml:space="preserve">API keys, database passwords, and private keys accidentally committed to public GitHub repositories, where automated scanners harvest them within minutes of publication.</w:t>
      </w:r>
    </w:p>
    <w:p>
      <w:pPr>
        <w:pStyle w:val="ListParagraph"/>
        <w:numPr>
          <w:ilvl w:val="0"/>
          <w:numId w:val="2"/>
        </w:numPr>
        <w:spacing w:after="60" w:before="40"/>
      </w:pPr>
      <w:r>
        <w:rPr>
          <w:rFonts w:ascii="Calibri" w:cs="Calibri" w:eastAsia="Calibri" w:hAnsi="Calibri"/>
          <w:b/>
          <w:bCs/>
          <w:color w:val="0D2B6E"/>
          <w:sz w:val="22"/>
          <w:szCs w:val="22"/>
        </w:rPr>
        <w:t xml:space="preserve">Unprotected Databases: </w:t>
      </w:r>
      <w:r>
        <w:rPr>
          <w:rFonts w:ascii="Calibri" w:cs="Calibri" w:eastAsia="Calibri" w:hAnsi="Calibri"/>
          <w:color w:val="222222"/>
          <w:sz w:val="22"/>
          <w:szCs w:val="22"/>
        </w:rPr>
        <w:t xml:space="preserve">MongoDB, Elasticsearch, and Redis databases deployed to the cloud without authentication or firewall rules, directly accessible from the public internet.</w:t>
      </w:r>
    </w:p>
    <w:p>
      <w:pPr>
        <w:pStyle w:val="ListParagraph"/>
        <w:numPr>
          <w:ilvl w:val="0"/>
          <w:numId w:val="2"/>
        </w:numPr>
        <w:spacing w:after="60" w:before="40"/>
      </w:pPr>
      <w:r>
        <w:rPr>
          <w:rFonts w:ascii="Calibri" w:cs="Calibri" w:eastAsia="Calibri" w:hAnsi="Calibri"/>
          <w:b/>
          <w:bCs/>
          <w:color w:val="0D2B6E"/>
          <w:sz w:val="22"/>
          <w:szCs w:val="22"/>
        </w:rPr>
        <w:t xml:space="preserve">Missing Encryption: </w:t>
      </w:r>
      <w:r>
        <w:rPr>
          <w:rFonts w:ascii="Calibri" w:cs="Calibri" w:eastAsia="Calibri" w:hAnsi="Calibri"/>
          <w:color w:val="222222"/>
          <w:sz w:val="22"/>
          <w:szCs w:val="22"/>
        </w:rPr>
        <w:t xml:space="preserve">Sensitive data stored or transmitted without encryption, meaning anyone with network access can read plaintext records.</w:t>
      </w:r>
    </w:p>
    <w:p>
      <w:pPr>
        <w:spacing w:after="0" w:before="0"/>
      </w:pPr>
      <w:r>
        <w:t xml:space="preserve"/>
      </w:r>
    </w:p>
    <w:p>
      <w:pPr>
        <w:pStyle w:val="Heading3"/>
        <w:spacing w:after="80" w:before="200"/>
      </w:pPr>
      <w:r>
        <w:rPr>
          <w:rFonts w:ascii="Calibri" w:cs="Calibri" w:eastAsia="Calibri" w:hAnsi="Calibri"/>
          <w:b/>
          <w:bCs/>
          <w:color w:val="D35400"/>
          <w:sz w:val="24"/>
          <w:szCs w:val="24"/>
        </w:rPr>
        <w:t xml:space="preserve">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40" w:before="0"/>
            </w:pPr>
            <w:r>
              <w:rPr>
                <w:rFonts w:ascii="Calibri" w:cs="Calibri" w:eastAsia="Calibri" w:hAnsi="Calibri"/>
                <w:b/>
                <w:bCs/>
                <w:color w:val="C0392B"/>
                <w:sz w:val="21"/>
                <w:szCs w:val="21"/>
              </w:rPr>
              <w:t xml:space="preserve">👤 Impact on Individuals</w:t>
            </w:r>
          </w:p>
          <w:p>
            <w:pPr>
              <w:spacing w:after="0" w:before="0"/>
              <w:jc w:val="both"/>
            </w:pPr>
            <w:r>
              <w:rPr>
                <w:rFonts w:ascii="Calibri" w:cs="Calibri" w:eastAsia="Calibri" w:hAnsi="Calibri"/>
                <w:color w:val="333333"/>
                <w:sz w:val="20"/>
                <w:szCs w:val="20"/>
              </w:rPr>
              <w:t xml:space="preserve">• Exposure of PII: names, SSNs, emails, medical records, financial data
• Identity theft risk from leaked personal information
• Unauthorized access to personal accounts via exposed credentials
• Medical record breaches causing insurance fraud and discrimination</w:t>
            </w:r>
          </w:p>
        </w:tc>
        <w:tc>
          <w:tcPr>
            <w:tcW w:type="dxa" w:w="4680"/>
            <w:tcBorders>
              <w:top w:val="single" w:color="CCCCCC" w:sz="1"/>
              <w:left w:val="single" w:color="CCCCCC" w:sz="1"/>
              <w:bottom w:val="single" w:color="CCCCCC" w:sz="1"/>
              <w:right w:val="single" w:color="CCCCCC" w:sz="1"/>
            </w:tcBorders>
            <w:shd w:fill="FEF3E2" w:val="clear"/>
            <w:tcMar>
              <w:top w:type="dxa" w:w="100"/>
              <w:left w:type="dxa" w:w="160"/>
              <w:bottom w:type="dxa" w:w="100"/>
              <w:right w:type="dxa" w:w="160"/>
            </w:tcMar>
          </w:tcPr>
          <w:p>
            <w:pPr>
              <w:spacing w:after="40" w:before="0"/>
            </w:pPr>
            <w:r>
              <w:rPr>
                <w:rFonts w:ascii="Calibri" w:cs="Calibri" w:eastAsia="Calibri" w:hAnsi="Calibri"/>
                <w:b/>
                <w:bCs/>
                <w:color w:val="D35400"/>
                <w:sz w:val="21"/>
                <w:szCs w:val="21"/>
              </w:rPr>
              <w:t xml:space="preserve">🏢 Impact on Organizations</w:t>
            </w:r>
          </w:p>
          <w:p>
            <w:pPr>
              <w:spacing w:after="0" w:before="0"/>
              <w:jc w:val="both"/>
            </w:pPr>
            <w:r>
              <w:rPr>
                <w:rFonts w:ascii="Calibri" w:cs="Calibri" w:eastAsia="Calibri" w:hAnsi="Calibri"/>
                <w:color w:val="333333"/>
                <w:sz w:val="20"/>
                <w:szCs w:val="20"/>
              </w:rPr>
              <w:t xml:space="preserve">• Massive data breaches exposing millions of customer records
• GDPR fines up to 4% of annual global turnover
• HIPAA penalties up to $1.9M per violation category per year
• Intellectual property theft by nation-state actors or competitors
• Severe stock price drops and market capitalization loss post-breach</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Real-World Case Study: Capital One Data Breach (2019)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B" w:val="clear"/>
            <w:tcMar>
              <w:top w:type="dxa" w:w="120"/>
              <w:left w:type="dxa" w:w="200"/>
              <w:bottom w:type="dxa" w:w="120"/>
              <w:right w:type="dxa" w:w="200"/>
            </w:tcMar>
          </w:tcPr>
          <w:p>
            <w:pPr>
              <w:spacing w:after="60" w:before="0"/>
            </w:pPr>
            <w:r>
              <w:rPr>
                <w:rFonts w:ascii="Calibri" w:cs="Calibri" w:eastAsia="Calibri" w:hAnsi="Calibri"/>
                <w:b/>
                <w:bCs/>
                <w:color w:val="0D2B6E"/>
                <w:sz w:val="22"/>
                <w:szCs w:val="22"/>
              </w:rPr>
              <w:t xml:space="preserve">📋 Case Study — Capital One Financial Corporation (2019)</w:t>
            </w:r>
          </w:p>
          <w:p>
            <w:pPr>
              <w:spacing w:after="0" w:before="0"/>
              <w:jc w:val="both"/>
            </w:pPr>
            <w:r>
              <w:rPr>
                <w:rFonts w:ascii="Calibri" w:cs="Calibri" w:eastAsia="Calibri" w:hAnsi="Calibri"/>
                <w:color w:val="333333"/>
                <w:sz w:val="21"/>
                <w:szCs w:val="21"/>
              </w:rPr>
              <w:t xml:space="preserve">A misconfigured AWS Web Application Firewall (WAF) allowed a former AWS engineer to exploit a Server-Side Request Forgery (SSRF) vulnerability and query the AWS metadata service, extracting IAM role credentials. These credentials had excessive permissions, enabling access to over 700 S3 buckets containing Capital One customer data. The breach exposed 106 million customer records in the US and Canada, including Social Security Numbers, bank account numbers, and credit scores. Capital One paid $80 million in OCC regulatory fines, $190 million to settle class-action lawsuits, and $500 million in total remediation costs. Root cause: overpermissive IAM role + misconfigured WAF.</w:t>
            </w:r>
          </w:p>
        </w:tc>
      </w:tr>
    </w:tbl>
    <w:p>
      <w:r>
        <w:br/>
      </w:r>
    </w:p>
    <w:p>
      <w:pPr>
        <w:pStyle w:val="Heading2"/>
        <w:spacing w:after="100" w:before="280"/>
      </w:pPr>
      <w:r>
        <w:rPr>
          <w:rFonts w:ascii="Calibri" w:cs="Calibri" w:eastAsia="Calibri" w:hAnsi="Calibri"/>
          <w:b/>
          <w:bCs/>
          <w:color w:val="1A56B0"/>
          <w:sz w:val="28"/>
          <w:szCs w:val="28"/>
        </w:rPr>
        <w:t xml:space="preserve">2.4  IoT Vulnerabilities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FEF3E2" w:val="clear"/>
            <w:tcMar>
              <w:top w:type="dxa" w:w="60"/>
              <w:left w:type="dxa" w:w="140"/>
              <w:bottom w:type="dxa" w:w="60"/>
              <w:right w:type="dxa" w:w="140"/>
            </w:tcMar>
          </w:tcPr>
          <w:p>
            <w:pPr>
              <w:jc w:val="center"/>
            </w:pPr>
            <w:r>
              <w:rPr>
                <w:rFonts w:ascii="Calibri" w:cs="Calibri" w:eastAsia="Calibri" w:hAnsi="Calibri"/>
                <w:b/>
                <w:bCs/>
                <w:color w:val="D35400"/>
                <w:sz w:val="21"/>
                <w:szCs w:val="21"/>
              </w:rPr>
              <w:t xml:space="preserve">⚠  Severity: HIGH</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Overview &amp; Attack Methodology</w:t>
      </w:r>
    </w:p>
    <w:p>
      <w:pPr>
        <w:spacing w:after="120" w:before="60"/>
        <w:jc w:val="both"/>
      </w:pPr>
      <w:r>
        <w:rPr>
          <w:rFonts w:ascii="Calibri" w:cs="Calibri" w:eastAsia="Calibri" w:hAnsi="Calibri"/>
          <w:b w:val="false"/>
          <w:bCs w:val="false"/>
          <w:i w:val="false"/>
          <w:iCs w:val="false"/>
          <w:color w:val="222222"/>
          <w:sz w:val="22"/>
          <w:szCs w:val="22"/>
        </w:rPr>
        <w:t xml:space="preserve">The Internet of Things (IoT) encompasses over 15 billion connected devices globally in 2025 — from smart home cameras, thermostats, and medical devices to industrial control systems (ICS), smart city infrastructure, and autonomous vehicles. IoT devices are notoriously insecure by design: shipped with default passwords, unencrypted communications, no update mechanisms, and minimal security controls. This makes them among the most exploitable entry points for attackers.</w:t>
      </w:r>
    </w:p>
    <w:p>
      <w:pPr>
        <w:pStyle w:val="ListParagraph"/>
        <w:numPr>
          <w:ilvl w:val="0"/>
          <w:numId w:val="2"/>
        </w:numPr>
        <w:spacing w:after="60" w:before="40"/>
      </w:pPr>
      <w:r>
        <w:rPr>
          <w:rFonts w:ascii="Calibri" w:cs="Calibri" w:eastAsia="Calibri" w:hAnsi="Calibri"/>
          <w:b/>
          <w:bCs/>
          <w:color w:val="0D2B6E"/>
          <w:sz w:val="22"/>
          <w:szCs w:val="22"/>
        </w:rPr>
        <w:t xml:space="preserve">Default Credential Exploitation: </w:t>
      </w:r>
      <w:r>
        <w:rPr>
          <w:rFonts w:ascii="Calibri" w:cs="Calibri" w:eastAsia="Calibri" w:hAnsi="Calibri"/>
          <w:color w:val="222222"/>
          <w:sz w:val="22"/>
          <w:szCs w:val="22"/>
        </w:rPr>
        <w:t xml:space="preserve">Automated scanners (Shodan, Censys) identify internet-exposed devices. Tools like Mirai automatically login with default credentials (admin/admin, root/1234) across millions of devices simultaneously.</w:t>
      </w:r>
    </w:p>
    <w:p>
      <w:pPr>
        <w:pStyle w:val="ListParagraph"/>
        <w:numPr>
          <w:ilvl w:val="0"/>
          <w:numId w:val="2"/>
        </w:numPr>
        <w:spacing w:after="60" w:before="40"/>
      </w:pPr>
      <w:r>
        <w:rPr>
          <w:rFonts w:ascii="Calibri" w:cs="Calibri" w:eastAsia="Calibri" w:hAnsi="Calibri"/>
          <w:b/>
          <w:bCs/>
          <w:color w:val="0D2B6E"/>
          <w:sz w:val="22"/>
          <w:szCs w:val="22"/>
        </w:rPr>
        <w:t xml:space="preserve">Firmware Vulnerabilities: </w:t>
      </w:r>
      <w:r>
        <w:rPr>
          <w:rFonts w:ascii="Calibri" w:cs="Calibri" w:eastAsia="Calibri" w:hAnsi="Calibri"/>
          <w:color w:val="222222"/>
          <w:sz w:val="22"/>
          <w:szCs w:val="22"/>
        </w:rPr>
        <w:t xml:space="preserve">Unpatched firmware contains known CVEs exploitable for unauthenticated remote code execution. Many IoT devices never receive updates — 57% have critical or high severity vulnerabilities (Palo Alto Networks).</w:t>
      </w:r>
    </w:p>
    <w:p>
      <w:pPr>
        <w:pStyle w:val="ListParagraph"/>
        <w:numPr>
          <w:ilvl w:val="0"/>
          <w:numId w:val="2"/>
        </w:numPr>
        <w:spacing w:after="60" w:before="40"/>
      </w:pPr>
      <w:r>
        <w:rPr>
          <w:rFonts w:ascii="Calibri" w:cs="Calibri" w:eastAsia="Calibri" w:hAnsi="Calibri"/>
          <w:b/>
          <w:bCs/>
          <w:color w:val="0D2B6E"/>
          <w:sz w:val="22"/>
          <w:szCs w:val="22"/>
        </w:rPr>
        <w:t xml:space="preserve">Botnet Recruitment: </w:t>
      </w:r>
      <w:r>
        <w:rPr>
          <w:rFonts w:ascii="Calibri" w:cs="Calibri" w:eastAsia="Calibri" w:hAnsi="Calibri"/>
          <w:color w:val="222222"/>
          <w:sz w:val="22"/>
          <w:szCs w:val="22"/>
        </w:rPr>
        <w:t xml:space="preserve">Thousands of compromised IoT devices are aggregated into botnets, weaponized for massive DDoS attacks capable of generating terabits per second of traffic to overwhelm any target.</w:t>
      </w:r>
    </w:p>
    <w:p>
      <w:pPr>
        <w:pStyle w:val="ListParagraph"/>
        <w:numPr>
          <w:ilvl w:val="0"/>
          <w:numId w:val="2"/>
        </w:numPr>
        <w:spacing w:after="60" w:before="40"/>
      </w:pPr>
      <w:r>
        <w:rPr>
          <w:rFonts w:ascii="Calibri" w:cs="Calibri" w:eastAsia="Calibri" w:hAnsi="Calibri"/>
          <w:b/>
          <w:bCs/>
          <w:color w:val="0D2B6E"/>
          <w:sz w:val="22"/>
          <w:szCs w:val="22"/>
        </w:rPr>
        <w:t xml:space="preserve">ICS/SCADA Attacks: </w:t>
      </w:r>
      <w:r>
        <w:rPr>
          <w:rFonts w:ascii="Calibri" w:cs="Calibri" w:eastAsia="Calibri" w:hAnsi="Calibri"/>
          <w:color w:val="222222"/>
          <w:sz w:val="22"/>
          <w:szCs w:val="22"/>
        </w:rPr>
        <w:t xml:space="preserve">Industrial IoT attacks targeting power grids, water treatment plants, oil pipelines, and manufacturing systems can cause physical damage and endanger human lives.</w:t>
      </w:r>
    </w:p>
    <w:p>
      <w:pPr>
        <w:pStyle w:val="ListParagraph"/>
        <w:numPr>
          <w:ilvl w:val="0"/>
          <w:numId w:val="2"/>
        </w:numPr>
        <w:spacing w:after="60" w:before="40"/>
      </w:pPr>
      <w:r>
        <w:rPr>
          <w:rFonts w:ascii="Calibri" w:cs="Calibri" w:eastAsia="Calibri" w:hAnsi="Calibri"/>
          <w:b/>
          <w:bCs/>
          <w:color w:val="0D2B6E"/>
          <w:sz w:val="22"/>
          <w:szCs w:val="22"/>
        </w:rPr>
        <w:t xml:space="preserve">Privacy Invasion: </w:t>
      </w:r>
      <w:r>
        <w:rPr>
          <w:rFonts w:ascii="Calibri" w:cs="Calibri" w:eastAsia="Calibri" w:hAnsi="Calibri"/>
          <w:color w:val="222222"/>
          <w:sz w:val="22"/>
          <w:szCs w:val="22"/>
        </w:rPr>
        <w:t xml:space="preserve">Compromised smart cameras, baby monitors, and voice assistants enable real-time surveillance of homes and offices without victim awareness.</w:t>
      </w:r>
    </w:p>
    <w:p>
      <w:pPr>
        <w:spacing w:after="0" w:before="0"/>
      </w:pPr>
      <w:r>
        <w:t xml:space="preserve"/>
      </w:r>
    </w:p>
    <w:p>
      <w:pPr>
        <w:pStyle w:val="Heading3"/>
        <w:spacing w:after="80" w:before="200"/>
      </w:pPr>
      <w:r>
        <w:rPr>
          <w:rFonts w:ascii="Calibri" w:cs="Calibri" w:eastAsia="Calibri" w:hAnsi="Calibri"/>
          <w:b/>
          <w:bCs/>
          <w:color w:val="D35400"/>
          <w:sz w:val="24"/>
          <w:szCs w:val="24"/>
        </w:rPr>
        <w:t xml:space="preserve">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40" w:before="0"/>
            </w:pPr>
            <w:r>
              <w:rPr>
                <w:rFonts w:ascii="Calibri" w:cs="Calibri" w:eastAsia="Calibri" w:hAnsi="Calibri"/>
                <w:b/>
                <w:bCs/>
                <w:color w:val="C0392B"/>
                <w:sz w:val="21"/>
                <w:szCs w:val="21"/>
              </w:rPr>
              <w:t xml:space="preserve">👤 Impact on Individuals</w:t>
            </w:r>
          </w:p>
          <w:p>
            <w:pPr>
              <w:spacing w:after="0" w:before="0"/>
              <w:jc w:val="both"/>
            </w:pPr>
            <w:r>
              <w:rPr>
                <w:rFonts w:ascii="Calibri" w:cs="Calibri" w:eastAsia="Calibri" w:hAnsi="Calibri"/>
                <w:color w:val="333333"/>
                <w:sz w:val="20"/>
                <w:szCs w:val="20"/>
              </w:rPr>
              <w:t xml:space="preserve">• Home camera and baby monitor hijacking — live surveillance by attackers
• Smart lock vulnerabilities enabling unauthorized physical access
• Voice assistant eavesdropping and recording private conversations
• Medical device manipulation posing direct physical danger
• Smart TV tracking of viewing habits and microphone access</w:t>
            </w:r>
          </w:p>
        </w:tc>
        <w:tc>
          <w:tcPr>
            <w:tcW w:type="dxa" w:w="4680"/>
            <w:tcBorders>
              <w:top w:val="single" w:color="CCCCCC" w:sz="1"/>
              <w:left w:val="single" w:color="CCCCCC" w:sz="1"/>
              <w:bottom w:val="single" w:color="CCCCCC" w:sz="1"/>
              <w:right w:val="single" w:color="CCCCCC" w:sz="1"/>
            </w:tcBorders>
            <w:shd w:fill="FEF3E2" w:val="clear"/>
            <w:tcMar>
              <w:top w:type="dxa" w:w="100"/>
              <w:left w:type="dxa" w:w="160"/>
              <w:bottom w:type="dxa" w:w="100"/>
              <w:right w:type="dxa" w:w="160"/>
            </w:tcMar>
          </w:tcPr>
          <w:p>
            <w:pPr>
              <w:spacing w:after="40" w:before="0"/>
            </w:pPr>
            <w:r>
              <w:rPr>
                <w:rFonts w:ascii="Calibri" w:cs="Calibri" w:eastAsia="Calibri" w:hAnsi="Calibri"/>
                <w:b/>
                <w:bCs/>
                <w:color w:val="D35400"/>
                <w:sz w:val="21"/>
                <w:szCs w:val="21"/>
              </w:rPr>
              <w:t xml:space="preserve">🏢 Impact on Organizations</w:t>
            </w:r>
          </w:p>
          <w:p>
            <w:pPr>
              <w:spacing w:after="0" w:before="0"/>
              <w:jc w:val="both"/>
            </w:pPr>
            <w:r>
              <w:rPr>
                <w:rFonts w:ascii="Calibri" w:cs="Calibri" w:eastAsia="Calibri" w:hAnsi="Calibri"/>
                <w:color w:val="333333"/>
                <w:sz w:val="20"/>
                <w:szCs w:val="20"/>
              </w:rPr>
              <w:t xml:space="preserve">• Critical infrastructure failure: power outages, water supply disruption
• Manufacturing shutdowns via compromised industrial control systems
• Hospital medical device attacks directly endangering patient lives
• DDoS attacks (via botnets) taking down websites, services, networks
• Espionage via corporate smart building systems (cameras, HVAC)</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Real-World Case Study: Mirai Botnet — Internet of Things DDoS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B" w:val="clear"/>
            <w:tcMar>
              <w:top w:type="dxa" w:w="120"/>
              <w:left w:type="dxa" w:w="200"/>
              <w:bottom w:type="dxa" w:w="120"/>
              <w:right w:type="dxa" w:w="200"/>
            </w:tcMar>
          </w:tcPr>
          <w:p>
            <w:pPr>
              <w:spacing w:after="60" w:before="0"/>
            </w:pPr>
            <w:r>
              <w:rPr>
                <w:rFonts w:ascii="Calibri" w:cs="Calibri" w:eastAsia="Calibri" w:hAnsi="Calibri"/>
                <w:b/>
                <w:bCs/>
                <w:color w:val="0D2B6E"/>
                <w:sz w:val="22"/>
                <w:szCs w:val="22"/>
              </w:rPr>
              <w:t xml:space="preserve">📋 Case Study — Mirai Botnet / Dyn DNS Attack (October 21, 2016)</w:t>
            </w:r>
          </w:p>
          <w:p>
            <w:pPr>
              <w:spacing w:after="0" w:before="0"/>
              <w:jc w:val="both"/>
            </w:pPr>
            <w:r>
              <w:rPr>
                <w:rFonts w:ascii="Calibri" w:cs="Calibri" w:eastAsia="Calibri" w:hAnsi="Calibri"/>
                <w:color w:val="333333"/>
                <w:sz w:val="21"/>
                <w:szCs w:val="21"/>
              </w:rPr>
              <w:t xml:space="preserve">The Mirai malware scanned the entire internet for IoT devices using default credentials, infecting 600,000+ cameras, DVRs, and routers. On October 21, 2016, it launched a 1.2 Tbps DDoS attack against Dyn, a major DNS provider. The result: Twitter, Netflix, Amazon, GitHub, Reddit, PayPal, and hundreds of other major websites went offline across the US East Coast and Europe for hours. Economic damages exceeded $110 million. Mirai's source code was subsequently released publicly, spawning dozens of derivative botnets still active today. This incident permanently changed how the industry thinks about IoT security.</w:t>
            </w:r>
          </w:p>
        </w:tc>
      </w:tr>
    </w:tbl>
    <w:p>
      <w:r>
        <w:br/>
      </w:r>
    </w:p>
    <w:p>
      <w:pPr>
        <w:pStyle w:val="Heading2"/>
        <w:spacing w:after="100" w:before="280"/>
      </w:pPr>
      <w:r>
        <w:rPr>
          <w:rFonts w:ascii="Calibri" w:cs="Calibri" w:eastAsia="Calibri" w:hAnsi="Calibri"/>
          <w:b/>
          <w:bCs/>
          <w:color w:val="1A56B0"/>
          <w:sz w:val="28"/>
          <w:szCs w:val="28"/>
        </w:rPr>
        <w:t xml:space="preserve">2.5  Zero-Day Exploits</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CCCCC" w:sz="1"/>
              <w:left w:val="single" w:color="CCCCCC" w:sz="1"/>
              <w:bottom w:val="single" w:color="CCCCCC" w:sz="1"/>
              <w:right w:val="single" w:color="CCCCCC" w:sz="1"/>
            </w:tcBorders>
            <w:shd w:fill="FDECEA" w:val="clear"/>
            <w:tcMar>
              <w:top w:type="dxa" w:w="60"/>
              <w:left w:type="dxa" w:w="140"/>
              <w:bottom w:type="dxa" w:w="60"/>
              <w:right w:type="dxa" w:w="140"/>
            </w:tcMar>
          </w:tcPr>
          <w:p>
            <w:pPr>
              <w:jc w:val="center"/>
            </w:pPr>
            <w:r>
              <w:rPr>
                <w:rFonts w:ascii="Calibri" w:cs="Calibri" w:eastAsia="Calibri" w:hAnsi="Calibri"/>
                <w:b/>
                <w:bCs/>
                <w:color w:val="C0392B"/>
                <w:sz w:val="21"/>
                <w:szCs w:val="21"/>
              </w:rPr>
              <w:t xml:space="preserve">⚠  Severity: CRITICAL</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Overview &amp; Attack Methodology</w:t>
      </w:r>
    </w:p>
    <w:p>
      <w:pPr>
        <w:spacing w:after="120" w:before="60"/>
        <w:jc w:val="both"/>
      </w:pPr>
      <w:r>
        <w:rPr>
          <w:rFonts w:ascii="Calibri" w:cs="Calibri" w:eastAsia="Calibri" w:hAnsi="Calibri"/>
          <w:b w:val="false"/>
          <w:bCs w:val="false"/>
          <w:i w:val="false"/>
          <w:iCs w:val="false"/>
          <w:color w:val="222222"/>
          <w:sz w:val="22"/>
          <w:szCs w:val="22"/>
        </w:rPr>
        <w:t xml:space="preserve">A zero-day exploit targets a previously unknown software vulnerability — one that the software vendor has had zero days to discover and patch. These exploits represent the most dangerous category of cyber weapon: there is no defense available until the vendor releases a fix, meaning even fully patched, well-secured systems can be compromised. Zero-days are the tool of choice for nation-state actors, intelligence agencies, and the most sophisticated criminal groups.</w:t>
      </w:r>
    </w:p>
    <w:p>
      <w:pPr>
        <w:pStyle w:val="ListParagraph"/>
        <w:numPr>
          <w:ilvl w:val="0"/>
          <w:numId w:val="2"/>
        </w:numPr>
        <w:spacing w:after="60" w:before="40"/>
      </w:pPr>
      <w:r>
        <w:rPr>
          <w:rFonts w:ascii="Calibri" w:cs="Calibri" w:eastAsia="Calibri" w:hAnsi="Calibri"/>
          <w:b/>
          <w:bCs/>
          <w:color w:val="0D2B6E"/>
          <w:sz w:val="22"/>
          <w:szCs w:val="22"/>
        </w:rPr>
        <w:t xml:space="preserve">Discovery: </w:t>
      </w:r>
      <w:r>
        <w:rPr>
          <w:rFonts w:ascii="Calibri" w:cs="Calibri" w:eastAsia="Calibri" w:hAnsi="Calibri"/>
          <w:color w:val="222222"/>
          <w:sz w:val="22"/>
          <w:szCs w:val="22"/>
        </w:rPr>
        <w:t xml:space="preserve">Security researchers, government agencies (NSA, GCHQ), criminal groups, or bug bounty hunters discover undisclosed vulnerabilities in operating systems, browsers, enterprise software, or network devices.</w:t>
      </w:r>
    </w:p>
    <w:p>
      <w:pPr>
        <w:pStyle w:val="ListParagraph"/>
        <w:numPr>
          <w:ilvl w:val="0"/>
          <w:numId w:val="2"/>
        </w:numPr>
        <w:spacing w:after="60" w:before="40"/>
      </w:pPr>
      <w:r>
        <w:rPr>
          <w:rFonts w:ascii="Calibri" w:cs="Calibri" w:eastAsia="Calibri" w:hAnsi="Calibri"/>
          <w:b/>
          <w:bCs/>
          <w:color w:val="0D2B6E"/>
          <w:sz w:val="22"/>
          <w:szCs w:val="22"/>
        </w:rPr>
        <w:t xml:space="preserve">Weaponization &amp; Market: </w:t>
      </w:r>
      <w:r>
        <w:rPr>
          <w:rFonts w:ascii="Calibri" w:cs="Calibri" w:eastAsia="Calibri" w:hAnsi="Calibri"/>
          <w:color w:val="222222"/>
          <w:sz w:val="22"/>
          <w:szCs w:val="22"/>
        </w:rPr>
        <w:t xml:space="preserve">Zero-days are sold on dark web markets or to government brokers for $50,000 to $2.5 million+ depending on the target platform. iOS zero-days have reportedly sold for $2.5M. Government stockpiling creates significant risk.</w:t>
      </w:r>
    </w:p>
    <w:p>
      <w:pPr>
        <w:pStyle w:val="ListParagraph"/>
        <w:numPr>
          <w:ilvl w:val="0"/>
          <w:numId w:val="2"/>
        </w:numPr>
        <w:spacing w:after="60" w:before="40"/>
      </w:pPr>
      <w:r>
        <w:rPr>
          <w:rFonts w:ascii="Calibri" w:cs="Calibri" w:eastAsia="Calibri" w:hAnsi="Calibri"/>
          <w:b/>
          <w:bCs/>
          <w:color w:val="0D2B6E"/>
          <w:sz w:val="22"/>
          <w:szCs w:val="22"/>
        </w:rPr>
        <w:t xml:space="preserve">Exploitation: </w:t>
      </w:r>
      <w:r>
        <w:rPr>
          <w:rFonts w:ascii="Calibri" w:cs="Calibri" w:eastAsia="Calibri" w:hAnsi="Calibri"/>
          <w:color w:val="222222"/>
          <w:sz w:val="22"/>
          <w:szCs w:val="22"/>
        </w:rPr>
        <w:t xml:space="preserve">Deployed in targeted attacks before discovery. Zero-click exploits (requiring no user interaction) are particularly dangerous — simply receiving a message can compromise a fully patched phone.</w:t>
      </w:r>
    </w:p>
    <w:p>
      <w:pPr>
        <w:pStyle w:val="ListParagraph"/>
        <w:numPr>
          <w:ilvl w:val="0"/>
          <w:numId w:val="2"/>
        </w:numPr>
        <w:spacing w:after="60" w:before="40"/>
      </w:pPr>
      <w:r>
        <w:rPr>
          <w:rFonts w:ascii="Calibri" w:cs="Calibri" w:eastAsia="Calibri" w:hAnsi="Calibri"/>
          <w:b/>
          <w:bCs/>
          <w:color w:val="0D2B6E"/>
          <w:sz w:val="22"/>
          <w:szCs w:val="22"/>
        </w:rPr>
        <w:t xml:space="preserve">Supply Chain Amplification: </w:t>
      </w:r>
      <w:r>
        <w:rPr>
          <w:rFonts w:ascii="Calibri" w:cs="Calibri" w:eastAsia="Calibri" w:hAnsi="Calibri"/>
          <w:color w:val="222222"/>
          <w:sz w:val="22"/>
          <w:szCs w:val="22"/>
        </w:rPr>
        <w:t xml:space="preserve">Zero-days in widely-used software (file transfer tools, network management platforms) can simultaneously compromise thousands of organizations that use the affected product.</w:t>
      </w:r>
    </w:p>
    <w:p>
      <w:pPr>
        <w:pStyle w:val="ListParagraph"/>
        <w:numPr>
          <w:ilvl w:val="0"/>
          <w:numId w:val="2"/>
        </w:numPr>
        <w:spacing w:after="60" w:before="40"/>
      </w:pPr>
      <w:r>
        <w:rPr>
          <w:rFonts w:ascii="Calibri" w:cs="Calibri" w:eastAsia="Calibri" w:hAnsi="Calibri"/>
          <w:b/>
          <w:bCs/>
          <w:color w:val="0D2B6E"/>
          <w:sz w:val="22"/>
          <w:szCs w:val="22"/>
        </w:rPr>
        <w:t xml:space="preserve">Nation-State Use: </w:t>
      </w:r>
      <w:r>
        <w:rPr>
          <w:rFonts w:ascii="Calibri" w:cs="Calibri" w:eastAsia="Calibri" w:hAnsi="Calibri"/>
          <w:color w:val="222222"/>
          <w:sz w:val="22"/>
          <w:szCs w:val="22"/>
        </w:rPr>
        <w:t xml:space="preserve">APT groups use zero-days for espionage, infrastructure sabotage, and intelligence gathering — often maintaining persistent access for months or years without detection.</w:t>
      </w:r>
    </w:p>
    <w:p>
      <w:pPr>
        <w:spacing w:after="0" w:before="0"/>
      </w:pPr>
      <w:r>
        <w:t xml:space="preserve"/>
      </w:r>
    </w:p>
    <w:p>
      <w:pPr>
        <w:pStyle w:val="Heading3"/>
        <w:spacing w:after="80" w:before="200"/>
      </w:pPr>
      <w:r>
        <w:rPr>
          <w:rFonts w:ascii="Calibri" w:cs="Calibri" w:eastAsia="Calibri" w:hAnsi="Calibri"/>
          <w:b/>
          <w:bCs/>
          <w:color w:val="D35400"/>
          <w:sz w:val="24"/>
          <w:szCs w:val="24"/>
        </w:rPr>
        <w:t xml:space="preserve">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DECEA" w:val="clear"/>
            <w:tcMar>
              <w:top w:type="dxa" w:w="100"/>
              <w:left w:type="dxa" w:w="160"/>
              <w:bottom w:type="dxa" w:w="100"/>
              <w:right w:type="dxa" w:w="160"/>
            </w:tcMar>
          </w:tcPr>
          <w:p>
            <w:pPr>
              <w:spacing w:after="40" w:before="0"/>
            </w:pPr>
            <w:r>
              <w:rPr>
                <w:rFonts w:ascii="Calibri" w:cs="Calibri" w:eastAsia="Calibri" w:hAnsi="Calibri"/>
                <w:b/>
                <w:bCs/>
                <w:color w:val="C0392B"/>
                <w:sz w:val="21"/>
                <w:szCs w:val="21"/>
              </w:rPr>
              <w:t xml:space="preserve">👤 Impact on Individuals</w:t>
            </w:r>
          </w:p>
          <w:p>
            <w:pPr>
              <w:spacing w:after="0" w:before="0"/>
              <w:jc w:val="both"/>
            </w:pPr>
            <w:r>
              <w:rPr>
                <w:rFonts w:ascii="Calibri" w:cs="Calibri" w:eastAsia="Calibri" w:hAnsi="Calibri"/>
                <w:color w:val="333333"/>
                <w:sz w:val="20"/>
                <w:szCs w:val="20"/>
              </w:rPr>
              <w:t xml:space="preserve">• Complete device compromise with zero user action required
• Spyware installation enabling surveillance of all device activity
• Persistent access to emails, messages, photos, and location data
• Pegasus spyware (NSO Group) used against journalists and activists
• No available protection until vendor patch released</w:t>
            </w:r>
          </w:p>
        </w:tc>
        <w:tc>
          <w:tcPr>
            <w:tcW w:type="dxa" w:w="4680"/>
            <w:tcBorders>
              <w:top w:val="single" w:color="CCCCCC" w:sz="1"/>
              <w:left w:val="single" w:color="CCCCCC" w:sz="1"/>
              <w:bottom w:val="single" w:color="CCCCCC" w:sz="1"/>
              <w:right w:val="single" w:color="CCCCCC" w:sz="1"/>
            </w:tcBorders>
            <w:shd w:fill="FEF3E2" w:val="clear"/>
            <w:tcMar>
              <w:top w:type="dxa" w:w="100"/>
              <w:left w:type="dxa" w:w="160"/>
              <w:bottom w:type="dxa" w:w="100"/>
              <w:right w:type="dxa" w:w="160"/>
            </w:tcMar>
          </w:tcPr>
          <w:p>
            <w:pPr>
              <w:spacing w:after="40" w:before="0"/>
            </w:pPr>
            <w:r>
              <w:rPr>
                <w:rFonts w:ascii="Calibri" w:cs="Calibri" w:eastAsia="Calibri" w:hAnsi="Calibri"/>
                <w:b/>
                <w:bCs/>
                <w:color w:val="D35400"/>
                <w:sz w:val="21"/>
                <w:szCs w:val="21"/>
              </w:rPr>
              <w:t xml:space="preserve">🏢 Impact on Organizations</w:t>
            </w:r>
          </w:p>
          <w:p>
            <w:pPr>
              <w:spacing w:after="0" w:before="0"/>
              <w:jc w:val="both"/>
            </w:pPr>
            <w:r>
              <w:rPr>
                <w:rFonts w:ascii="Calibri" w:cs="Calibri" w:eastAsia="Calibri" w:hAnsi="Calibri"/>
                <w:color w:val="333333"/>
                <w:sz w:val="20"/>
                <w:szCs w:val="20"/>
              </w:rPr>
              <w:t xml:space="preserve">• Undetectable data exfiltration over months or years
• Complete network compromise via trusted, patched software
• Supply chain attacks affecting all customers of vulnerable vendor
• Critical infrastructure sabotage (Stuxnet destroyed Iranian centrifuges)
• No vendor patch available — organizations are effectively blind</w:t>
            </w:r>
          </w:p>
        </w:tc>
      </w:tr>
    </w:tbl>
    <w:p>
      <w:pPr>
        <w:spacing w:after="0" w:before="0"/>
      </w:pPr>
      <w:r>
        <w:t xml:space="preserve"/>
      </w:r>
    </w:p>
    <w:p>
      <w:pPr>
        <w:pStyle w:val="Heading3"/>
        <w:spacing w:after="80" w:before="200"/>
      </w:pPr>
      <w:r>
        <w:rPr>
          <w:rFonts w:ascii="Calibri" w:cs="Calibri" w:eastAsia="Calibri" w:hAnsi="Calibri"/>
          <w:b/>
          <w:bCs/>
          <w:color w:val="D35400"/>
          <w:sz w:val="24"/>
          <w:szCs w:val="24"/>
        </w:rPr>
        <w:t xml:space="preserve">Real-World Case Study: MOVEit Transfer Zero-Day Mass Exploitation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B" w:val="clear"/>
            <w:tcMar>
              <w:top w:type="dxa" w:w="120"/>
              <w:left w:type="dxa" w:w="200"/>
              <w:bottom w:type="dxa" w:w="120"/>
              <w:right w:type="dxa" w:w="200"/>
            </w:tcMar>
          </w:tcPr>
          <w:p>
            <w:pPr>
              <w:spacing w:after="60" w:before="0"/>
            </w:pPr>
            <w:r>
              <w:rPr>
                <w:rFonts w:ascii="Calibri" w:cs="Calibri" w:eastAsia="Calibri" w:hAnsi="Calibri"/>
                <w:b/>
                <w:bCs/>
                <w:color w:val="0D2B6E"/>
                <w:sz w:val="22"/>
                <w:szCs w:val="22"/>
              </w:rPr>
              <w:t xml:space="preserve">📋 Case Study — MOVEit Transfer CVE-2023-34362 (May–June 2023)</w:t>
            </w:r>
          </w:p>
          <w:p>
            <w:pPr>
              <w:spacing w:after="0" w:before="0"/>
              <w:jc w:val="both"/>
            </w:pPr>
            <w:r>
              <w:rPr>
                <w:rFonts w:ascii="Calibri" w:cs="Calibri" w:eastAsia="Calibri" w:hAnsi="Calibri"/>
                <w:color w:val="333333"/>
                <w:sz w:val="21"/>
                <w:szCs w:val="21"/>
              </w:rPr>
              <w:t xml:space="preserve">The Cl0p ransomware group discovered a critical SQL injection zero-day (CVE-2023-34362) in MOVEit Transfer — widely-used file transfer software. Rather than ransom individuals, they exploited it simultaneously across thousands of organizations worldwide. Victims included the US Department of Energy, US Department of Justice, BBC, British Airways, Shell, Siemens Energy, and 2,700+ other organizations. Over 93 million individuals' data was exposed. No ransom was demanded — stolen data was simply published on Cl0p's leak site unless victims paid. Total economic damages exceeded $15.4 billion (Emsisoft Research). The attack required zero interaction from victims — simply running patched MOVEit software was sufficient for compromise.</w:t>
            </w:r>
          </w:p>
        </w:tc>
      </w:tr>
    </w:tbl>
    <w:p>
      <w:r>
        <w:br/>
      </w:r>
    </w:p>
    <w:p>
      <w:pPr>
        <w:pStyle w:val="Heading1"/>
        <w:pBdr>
          <w:bottom w:val="single" w:color="1A56B0" w:sz="10" w:space="6"/>
        </w:pBdr>
        <w:spacing w:after="160" w:before="400"/>
      </w:pPr>
      <w:r>
        <w:rPr>
          <w:rFonts w:ascii="Calibri" w:cs="Calibri" w:eastAsia="Calibri" w:hAnsi="Calibri"/>
          <w:b/>
          <w:bCs/>
          <w:caps/>
          <w:color w:val="0D2B6E"/>
          <w:sz w:val="34"/>
          <w:szCs w:val="34"/>
        </w:rPr>
        <w:t xml:space="preserve">3. Impact Analysis Summary</w:t>
      </w:r>
    </w:p>
    <w:p>
      <w:pPr>
        <w:spacing w:after="120" w:before="60"/>
        <w:jc w:val="both"/>
      </w:pPr>
      <w:r>
        <w:rPr>
          <w:rFonts w:ascii="Calibri" w:cs="Calibri" w:eastAsia="Calibri" w:hAnsi="Calibri"/>
          <w:b w:val="false"/>
          <w:bCs w:val="false"/>
          <w:i w:val="false"/>
          <w:iCs w:val="false"/>
          <w:color w:val="222222"/>
          <w:sz w:val="22"/>
          <w:szCs w:val="22"/>
        </w:rPr>
        <w:t xml:space="preserve">The following table consolidates the impact analysis for all five major threats, providing a comparative view of severity, primary targets, financial impact, and key consequences: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200"/>
        <w:gridCol w:w="1700"/>
        <w:gridCol w:w="2060"/>
      </w:tblGrid>
      <w:tr>
        <w:trPr>
          <w:tblHeader/>
        </w:trPr>
        <w:tc>
          <w:tcPr>
            <w:tcW w:type="dxa" w:w="220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Threat</w:t>
            </w:r>
          </w:p>
        </w:tc>
        <w:tc>
          <w:tcPr>
            <w:tcW w:type="dxa" w:w="120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Severity</w:t>
            </w:r>
          </w:p>
        </w:tc>
        <w:tc>
          <w:tcPr>
            <w:tcW w:type="dxa" w:w="220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Primary Targets</w:t>
            </w:r>
          </w:p>
        </w:tc>
        <w:tc>
          <w:tcPr>
            <w:tcW w:type="dxa" w:w="170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Est. Annual Cost</w:t>
            </w:r>
          </w:p>
        </w:tc>
        <w:tc>
          <w:tcPr>
            <w:tcW w:type="dxa" w:w="206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Key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AI-Powered Phishing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Individuals, SMBs, Enterprises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$2.9B+ (BEC alone)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Credential theft, financial fraud</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Ransomware-as-a-Service</w:t>
            </w:r>
          </w:p>
        </w:tc>
        <w:tc>
          <w:tcPr>
            <w:tcW w:type="dxa" w:w="1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CRITICAL</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Healthcare, Finance, Gov't</w:t>
            </w:r>
          </w:p>
        </w:tc>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$20B+ globally</w:t>
            </w:r>
          </w:p>
        </w:tc>
        <w:tc>
          <w:tcPr>
            <w:tcW w:type="dxa" w:w="20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Operational shutdown, data loss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Cloud Misconfigurations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Enterprises, SaaS, E-commerce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$4.1B+ in breaches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Mass data exposure, compliance fines</w:t>
            </w:r>
          </w:p>
        </w:tc>
      </w:tr>
      <w:tr>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IoT Vulnerabilities</w:t>
            </w:r>
          </w:p>
        </w:tc>
        <w:tc>
          <w:tcPr>
            <w:tcW w:type="dxa" w:w="1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HIGH</w:t>
            </w:r>
          </w:p>
        </w:tc>
        <w:tc>
          <w:tcPr>
            <w:tcW w:type="dxa" w:w="22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Smart Homes, Hospitals, Industry</w:t>
            </w:r>
          </w:p>
        </w:tc>
        <w:tc>
          <w:tcPr>
            <w:tcW w:type="dxa" w:w="17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$6B+ infrastructure</w:t>
            </w:r>
          </w:p>
        </w:tc>
        <w:tc>
          <w:tcPr>
            <w:tcW w:type="dxa" w:w="206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Privacy invasion, DDoS, ICS attacks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Zero-Day Exploits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Government, Defense, Enterprises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$15B+ (MOVEit alone)</w:t>
            </w:r>
          </w:p>
        </w:tc>
        <w:tc>
          <w:tcPr>
            <w:tcW w:type="dxa" w:w="2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Undetectable network compromise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3" w:val="clear"/>
            <w:tcMar>
              <w:top w:type="dxa" w:w="120"/>
              <w:left w:type="dxa" w:w="200"/>
              <w:bottom w:type="dxa" w:w="120"/>
              <w:right w:type="dxa" w:w="200"/>
            </w:tcMar>
          </w:tcPr>
          <w:p>
            <w:pPr>
              <w:spacing w:after="60" w:before="0"/>
            </w:pPr>
            <w:r>
              <w:rPr>
                <w:rFonts w:ascii="Calibri" w:cs="Calibri" w:eastAsia="Calibri" w:hAnsi="Calibri"/>
                <w:b/>
                <w:bCs/>
                <w:color w:val="1A6B3C"/>
                <w:sz w:val="22"/>
                <w:szCs w:val="22"/>
              </w:rPr>
              <w:t xml:space="preserve">🔑 Key Insight from Impact Analysis</w:t>
            </w:r>
          </w:p>
          <w:p>
            <w:pPr>
              <w:spacing w:after="0" w:before="0"/>
              <w:jc w:val="both"/>
            </w:pPr>
            <w:r>
              <w:rPr>
                <w:rFonts w:ascii="Calibri" w:cs="Calibri" w:eastAsia="Calibri" w:hAnsi="Calibri"/>
                <w:color w:val="333333"/>
                <w:sz w:val="21"/>
                <w:szCs w:val="21"/>
              </w:rPr>
              <w:t xml:space="preserve">A common thread runs through all five threats: human error or negligence contributes to over 82% of incidents (IBM 2024). This confirms that technical controls alone are insufficient — a security-aware culture, regular training, and clear security policies are equally essential components of an effective cybersecurity strategy.</w:t>
            </w:r>
          </w:p>
        </w:tc>
      </w:tr>
    </w:tbl>
    <w:p>
      <w:r>
        <w:br/>
      </w:r>
    </w:p>
    <w:p>
      <w:pPr>
        <w:pStyle w:val="Heading1"/>
        <w:pBdr>
          <w:bottom w:val="single" w:color="1A56B0" w:sz="10" w:space="6"/>
        </w:pBdr>
        <w:spacing w:after="160" w:before="400"/>
      </w:pPr>
      <w:r>
        <w:rPr>
          <w:rFonts w:ascii="Calibri" w:cs="Calibri" w:eastAsia="Calibri" w:hAnsi="Calibri"/>
          <w:b/>
          <w:bCs/>
          <w:caps/>
          <w:color w:val="0D2B6E"/>
          <w:sz w:val="34"/>
          <w:szCs w:val="34"/>
        </w:rPr>
        <w:t xml:space="preserve">4. Real-World Case Studies — Timeline Reference</w:t>
      </w:r>
    </w:p>
    <w:p>
      <w:pPr>
        <w:spacing w:after="120" w:before="60"/>
        <w:jc w:val="both"/>
      </w:pPr>
      <w:r>
        <w:rPr>
          <w:rFonts w:ascii="Calibri" w:cs="Calibri" w:eastAsia="Calibri" w:hAnsi="Calibri"/>
          <w:b w:val="false"/>
          <w:bCs w:val="false"/>
          <w:i w:val="false"/>
          <w:iCs w:val="false"/>
          <w:color w:val="222222"/>
          <w:sz w:val="22"/>
          <w:szCs w:val="22"/>
        </w:rPr>
        <w:t xml:space="preserve">The following timeline summarizes major cyber incidents referenced in this report alongside other landmark attacks, demonstrating the escalating scale and impact of cyber threats: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100"/>
        <w:gridCol w:w="2100"/>
        <w:gridCol w:w="4480"/>
      </w:tblGrid>
      <w:tr>
        <w:trPr>
          <w:tblHeader/>
        </w:trPr>
        <w:tc>
          <w:tcPr>
            <w:tcW w:type="dxa" w:w="68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Year</w:t>
            </w:r>
          </w:p>
        </w:tc>
        <w:tc>
          <w:tcPr>
            <w:tcW w:type="dxa" w:w="210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Incident</w:t>
            </w:r>
          </w:p>
        </w:tc>
        <w:tc>
          <w:tcPr>
            <w:tcW w:type="dxa" w:w="210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Threat Category</w:t>
            </w:r>
          </w:p>
        </w:tc>
        <w:tc>
          <w:tcPr>
            <w:tcW w:type="dxa" w:w="4480"/>
            <w:tcBorders>
              <w:top w:val="single" w:color="CCCCCC" w:sz="1"/>
              <w:left w:val="single" w:color="CCCCCC" w:sz="1"/>
              <w:bottom w:val="single" w:color="CCCCCC" w:sz="1"/>
              <w:right w:val="single" w:color="CCCCCC" w:sz="1"/>
            </w:tcBorders>
            <w:shd w:fill="0D2B6E" w:val="clear"/>
            <w:tcMar>
              <w:top w:type="dxa" w:w="100"/>
              <w:left w:type="dxa" w:w="140"/>
              <w:bottom w:type="dxa" w:w="100"/>
              <w:right w:type="dxa" w:w="140"/>
            </w:tcMar>
          </w:tcPr>
          <w:p>
            <w:r>
              <w:rPr>
                <w:rFonts w:ascii="Calibri" w:cs="Calibri" w:eastAsia="Calibri" w:hAnsi="Calibri"/>
                <w:b/>
                <w:bCs/>
                <w:color w:val="FFFFFF"/>
                <w:sz w:val="21"/>
                <w:szCs w:val="21"/>
              </w:rPr>
              <w:t xml:space="preserve">Scale &amp; Impact</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2016</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Mirai Botnet / Dyn DDoS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IoT Vulnerabilities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600K devices; 1.2 Tbps; major internet outage across US/Europe</w:t>
            </w:r>
          </w:p>
        </w:tc>
      </w:tr>
      <w:tr>
        <w:tc>
          <w:tcPr>
            <w:tcW w:type="dxa" w:w="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2017</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WannaCry Ransomware</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Ransomware (RaaS model)</w:t>
            </w:r>
          </w:p>
        </w:tc>
        <w:tc>
          <w:tcPr>
            <w:tcW w:type="dxa" w:w="44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150 countries; NHS UK paralyzed; $4B+ damages</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2019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Capital One Breach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Cloud Misconfiguration</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106M records; $770M total cost; AWS IAM misconfiguration</w:t>
            </w:r>
          </w:p>
        </w:tc>
      </w:tr>
      <w:tr>
        <w:tc>
          <w:tcPr>
            <w:tcW w:type="dxa" w:w="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2020</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SolarWinds Supply Chain</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Zero-Day / Supply Chain</w:t>
            </w:r>
          </w:p>
        </w:tc>
        <w:tc>
          <w:tcPr>
            <w:tcW w:type="dxa" w:w="44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18,000 orgs including US Treasury, DoD, DHS compromised</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2021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Colonial Pipeline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Ransomware (DarkSide RaaS)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$4.4M ransom; US East Coast fuel shortage; state of emergency</w:t>
            </w:r>
          </w:p>
        </w:tc>
      </w:tr>
      <w:tr>
        <w:tc>
          <w:tcPr>
            <w:tcW w:type="dxa" w:w="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2022</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Uber Data Breach</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AI Phishing / Social Eng.</w:t>
            </w:r>
          </w:p>
        </w:tc>
        <w:tc>
          <w:tcPr>
            <w:tcW w:type="dxa" w:w="44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MFA fatigue attack; internal systems fully compromised</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2023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MGM Resorts Attack</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AI-Powered Social Engineering</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$100M+ losses; 10-day operational shutdown; vishing attack</w:t>
            </w:r>
          </w:p>
        </w:tc>
      </w:tr>
      <w:tr>
        <w:tc>
          <w:tcPr>
            <w:tcW w:type="dxa" w:w="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2023</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MOVEit Zero-Day</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Zero-Day Exploit</w:t>
            </w:r>
          </w:p>
        </w:tc>
        <w:tc>
          <w:tcPr>
            <w:tcW w:type="dxa" w:w="44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2,700+ orgs; 93M individuals; $15.4B damages; Cl0p group</w:t>
            </w:r>
          </w:p>
        </w:tc>
      </w:tr>
      <w:tr>
        <w:tc>
          <w:tcPr>
            <w:tcW w:type="dxa" w:w="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2024</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Change Healthcare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Ransomware (ALPHV/BlackCat)</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alibri" w:cs="Calibri" w:eastAsia="Calibri" w:hAnsi="Calibri"/>
                <w:color w:val="222222"/>
                <w:sz w:val="20"/>
                <w:szCs w:val="20"/>
              </w:rPr>
              <w:t xml:space="preserve">$1.6B impact; 70K+ pharmacies; 1 in 3 Americans affected</w:t>
            </w:r>
          </w:p>
        </w:tc>
      </w:tr>
      <w:tr>
        <w:tc>
          <w:tcPr>
            <w:tcW w:type="dxa" w:w="6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2024</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AT&amp;T Massive Breach</w:t>
            </w:r>
          </w:p>
        </w:tc>
        <w:tc>
          <w:tcPr>
            <w:tcW w:type="dxa" w:w="210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Cloud Misconfiguration</w:t>
            </w:r>
          </w:p>
        </w:tc>
        <w:tc>
          <w:tcPr>
            <w:tcW w:type="dxa" w:w="4480"/>
            <w:tcBorders>
              <w:top w:val="single" w:color="CCCCCC" w:sz="1"/>
              <w:left w:val="single" w:color="CCCCCC" w:sz="1"/>
              <w:bottom w:val="single" w:color="CCCCCC" w:sz="1"/>
              <w:right w:val="single" w:color="CCCCCC" w:sz="1"/>
            </w:tcBorders>
            <w:shd w:fill="F4F4F4" w:val="clear"/>
            <w:tcMar>
              <w:top w:type="dxa" w:w="80"/>
              <w:left w:type="dxa" w:w="140"/>
              <w:bottom w:type="dxa" w:w="80"/>
              <w:right w:type="dxa" w:w="140"/>
            </w:tcMar>
          </w:tcPr>
          <w:p>
            <w:r>
              <w:rPr>
                <w:rFonts w:ascii="Calibri" w:cs="Calibri" w:eastAsia="Calibri" w:hAnsi="Calibri"/>
                <w:color w:val="222222"/>
                <w:sz w:val="20"/>
                <w:szCs w:val="20"/>
              </w:rPr>
              <w:t xml:space="preserve">110M customer records; Snowflake cloud bucket exposure</w:t>
            </w:r>
          </w:p>
        </w:tc>
      </w:tr>
    </w:tbl>
    <w:p>
      <w:r>
        <w:br/>
      </w:r>
    </w:p>
    <w:p>
      <w:pPr>
        <w:pStyle w:val="Heading1"/>
        <w:pBdr>
          <w:bottom w:val="single" w:color="1A56B0" w:sz="10" w:space="6"/>
        </w:pBdr>
        <w:spacing w:after="160" w:before="400"/>
      </w:pPr>
      <w:r>
        <w:rPr>
          <w:rFonts w:ascii="Calibri" w:cs="Calibri" w:eastAsia="Calibri" w:hAnsi="Calibri"/>
          <w:b/>
          <w:bCs/>
          <w:caps/>
          <w:color w:val="0D2B6E"/>
          <w:sz w:val="34"/>
          <w:szCs w:val="34"/>
        </w:rPr>
        <w:t xml:space="preserve">5. Preventive Measures &amp; Defense Strategies</w:t>
      </w:r>
    </w:p>
    <w:p>
      <w:pPr>
        <w:spacing w:after="120" w:before="60"/>
        <w:jc w:val="both"/>
      </w:pPr>
      <w:r>
        <w:rPr>
          <w:rFonts w:ascii="Calibri" w:cs="Calibri" w:eastAsia="Calibri" w:hAnsi="Calibri"/>
          <w:b w:val="false"/>
          <w:bCs w:val="false"/>
          <w:i w:val="false"/>
          <w:iCs w:val="false"/>
          <w:color w:val="222222"/>
          <w:sz w:val="22"/>
          <w:szCs w:val="22"/>
        </w:rPr>
        <w:t xml:space="preserve">A defense-in-depth strategy — multiple overlapping security layers — is essential to counter modern threats. No single solution provides complete protection. The following section details specific, actionable countermeasures for each identified threat, followed by universal best practices every organization should implement.</w:t>
      </w:r>
    </w:p>
    <w:p>
      <w:pPr>
        <w:spacing w:after="0" w:before="0"/>
      </w:pPr>
      <w:r>
        <w:t xml:space="preserve"/>
      </w:r>
    </w:p>
    <w:p>
      <w:pPr>
        <w:pStyle w:val="Heading2"/>
        <w:spacing w:after="100" w:before="280"/>
      </w:pPr>
      <w:r>
        <w:rPr>
          <w:rFonts w:ascii="Calibri" w:cs="Calibri" w:eastAsia="Calibri" w:hAnsi="Calibri"/>
          <w:b/>
          <w:bCs/>
          <w:color w:val="1A56B0"/>
          <w:sz w:val="28"/>
          <w:szCs w:val="28"/>
        </w:rPr>
        <w:t xml:space="preserve">5.1 Defending Against AI-Powered Phishing</w:t>
      </w:r>
    </w:p>
    <w:p>
      <w:pPr>
        <w:pStyle w:val="ListParagraph"/>
        <w:numPr>
          <w:ilvl w:val="0"/>
          <w:numId w:val="2"/>
        </w:numPr>
        <w:spacing w:after="60" w:before="40"/>
      </w:pPr>
      <w:r>
        <w:rPr>
          <w:rFonts w:ascii="Calibri" w:cs="Calibri" w:eastAsia="Calibri" w:hAnsi="Calibri"/>
          <w:b/>
          <w:bCs/>
          <w:color w:val="1A56B0"/>
          <w:sz w:val="22"/>
          <w:szCs w:val="22"/>
        </w:rPr>
        <w:t xml:space="preserve">Multi-Factor Authentication (MFA): </w:t>
      </w:r>
      <w:r>
        <w:rPr>
          <w:rFonts w:ascii="Calibri" w:cs="Calibri" w:eastAsia="Calibri" w:hAnsi="Calibri"/>
          <w:color w:val="222222"/>
          <w:sz w:val="22"/>
          <w:szCs w:val="22"/>
        </w:rPr>
        <w:t xml:space="preserve">Implement MFA on ALL accounts — email, banking, cloud, VPN. Even if credentials are stolen via phishing, attackers cannot authenticate without the second factor. Use authenticator apps over SMS (SIM-swapping risk).</w:t>
      </w:r>
    </w:p>
    <w:p>
      <w:pPr>
        <w:pStyle w:val="ListParagraph"/>
        <w:numPr>
          <w:ilvl w:val="0"/>
          <w:numId w:val="2"/>
        </w:numPr>
        <w:spacing w:after="60" w:before="40"/>
      </w:pPr>
      <w:r>
        <w:rPr>
          <w:rFonts w:ascii="Calibri" w:cs="Calibri" w:eastAsia="Calibri" w:hAnsi="Calibri"/>
          <w:b/>
          <w:bCs/>
          <w:color w:val="1A56B0"/>
          <w:sz w:val="22"/>
          <w:szCs w:val="22"/>
        </w:rPr>
        <w:t xml:space="preserve">AI-Powered Email Security: </w:t>
      </w:r>
      <w:r>
        <w:rPr>
          <w:rFonts w:ascii="Calibri" w:cs="Calibri" w:eastAsia="Calibri" w:hAnsi="Calibri"/>
          <w:color w:val="222222"/>
          <w:sz w:val="22"/>
          <w:szCs w:val="22"/>
        </w:rPr>
        <w:t xml:space="preserve">Deploy advanced email filtering (Microsoft Defender for Office 365, Proofpoint, Mimecast) that uses AI to detect AI-generated phishing content, suspicious patterns, and malicious attachments beyond traditional signature-based detection.</w:t>
      </w:r>
    </w:p>
    <w:p>
      <w:pPr>
        <w:pStyle w:val="ListParagraph"/>
        <w:numPr>
          <w:ilvl w:val="0"/>
          <w:numId w:val="2"/>
        </w:numPr>
        <w:spacing w:after="60" w:before="40"/>
      </w:pPr>
      <w:r>
        <w:rPr>
          <w:rFonts w:ascii="Calibri" w:cs="Calibri" w:eastAsia="Calibri" w:hAnsi="Calibri"/>
          <w:b/>
          <w:bCs/>
          <w:color w:val="1A56B0"/>
          <w:sz w:val="22"/>
          <w:szCs w:val="22"/>
        </w:rPr>
        <w:t xml:space="preserve">Security Awareness Training: </w:t>
      </w:r>
      <w:r>
        <w:rPr>
          <w:rFonts w:ascii="Calibri" w:cs="Calibri" w:eastAsia="Calibri" w:hAnsi="Calibri"/>
          <w:color w:val="222222"/>
          <w:sz w:val="22"/>
          <w:szCs w:val="22"/>
        </w:rPr>
        <w:t xml:space="preserve">Run monthly phishing simulations (KnowBe4, Proofpoint TAP) and training programs. Employees who recognize phishing are the strongest defense layer. Report rates should be tracked as a KPI.</w:t>
      </w:r>
    </w:p>
    <w:p>
      <w:pPr>
        <w:pStyle w:val="ListParagraph"/>
        <w:numPr>
          <w:ilvl w:val="0"/>
          <w:numId w:val="2"/>
        </w:numPr>
        <w:spacing w:after="60" w:before="40"/>
      </w:pPr>
      <w:r>
        <w:rPr>
          <w:rFonts w:ascii="Calibri" w:cs="Calibri" w:eastAsia="Calibri" w:hAnsi="Calibri"/>
          <w:b/>
          <w:bCs/>
          <w:color w:val="1A56B0"/>
          <w:sz w:val="22"/>
          <w:szCs w:val="22"/>
        </w:rPr>
        <w:t xml:space="preserve">Email Authentication Protocols: </w:t>
      </w:r>
      <w:r>
        <w:rPr>
          <w:rFonts w:ascii="Calibri" w:cs="Calibri" w:eastAsia="Calibri" w:hAnsi="Calibri"/>
          <w:color w:val="222222"/>
          <w:sz w:val="22"/>
          <w:szCs w:val="22"/>
        </w:rPr>
        <w:t xml:space="preserve">Implement DMARC (with 'reject' policy), SPF, and DKIM on all company domains to prevent domain spoofing. 90% of phishing uses spoofed or look-alike domains.</w:t>
      </w:r>
    </w:p>
    <w:p>
      <w:pPr>
        <w:pStyle w:val="ListParagraph"/>
        <w:numPr>
          <w:ilvl w:val="0"/>
          <w:numId w:val="2"/>
        </w:numPr>
        <w:spacing w:after="60" w:before="40"/>
      </w:pPr>
      <w:r>
        <w:rPr>
          <w:rFonts w:ascii="Calibri" w:cs="Calibri" w:eastAsia="Calibri" w:hAnsi="Calibri"/>
          <w:b/>
          <w:bCs/>
          <w:color w:val="1A56B0"/>
          <w:sz w:val="22"/>
          <w:szCs w:val="22"/>
        </w:rPr>
        <w:t xml:space="preserve">Out-of-Band Verification: </w:t>
      </w:r>
      <w:r>
        <w:rPr>
          <w:rFonts w:ascii="Calibri" w:cs="Calibri" w:eastAsia="Calibri" w:hAnsi="Calibri"/>
          <w:color w:val="222222"/>
          <w:sz w:val="22"/>
          <w:szCs w:val="22"/>
        </w:rPr>
        <w:t xml:space="preserve">Establish mandatory callback protocols for wire transfers or sensitive requests — always verify via phone using a pre-known number, never a number provided in the suspicious email.</w:t>
      </w:r>
    </w:p>
    <w:p>
      <w:pPr>
        <w:pStyle w:val="Heading2"/>
        <w:spacing w:after="100" w:before="280"/>
      </w:pPr>
      <w:r>
        <w:rPr>
          <w:rFonts w:ascii="Calibri" w:cs="Calibri" w:eastAsia="Calibri" w:hAnsi="Calibri"/>
          <w:b/>
          <w:bCs/>
          <w:color w:val="1A56B0"/>
          <w:sz w:val="28"/>
          <w:szCs w:val="28"/>
        </w:rPr>
        <w:t xml:space="preserve">5.2 Defending Against Ransomware-as-a-Service</w:t>
      </w:r>
    </w:p>
    <w:p>
      <w:pPr>
        <w:pStyle w:val="ListParagraph"/>
        <w:numPr>
          <w:ilvl w:val="0"/>
          <w:numId w:val="2"/>
        </w:numPr>
        <w:spacing w:after="60" w:before="40"/>
      </w:pPr>
      <w:r>
        <w:rPr>
          <w:rFonts w:ascii="Calibri" w:cs="Calibri" w:eastAsia="Calibri" w:hAnsi="Calibri"/>
          <w:b/>
          <w:bCs/>
          <w:color w:val="1A56B0"/>
          <w:sz w:val="22"/>
          <w:szCs w:val="22"/>
        </w:rPr>
        <w:t xml:space="preserve">3-2-1-1-0 Backup Strategy: </w:t>
      </w:r>
      <w:r>
        <w:rPr>
          <w:rFonts w:ascii="Calibri" w:cs="Calibri" w:eastAsia="Calibri" w:hAnsi="Calibri"/>
          <w:color w:val="222222"/>
          <w:sz w:val="22"/>
          <w:szCs w:val="22"/>
        </w:rPr>
        <w:t xml:space="preserve">Maintain 3 copies of data, on 2 different media types, 1 offsite, 1 offline (air-gapped), with 0 backup errors verified through regular tested restorations. Backups are the ultimate ransomware defense.</w:t>
      </w:r>
    </w:p>
    <w:p>
      <w:pPr>
        <w:pStyle w:val="ListParagraph"/>
        <w:numPr>
          <w:ilvl w:val="0"/>
          <w:numId w:val="2"/>
        </w:numPr>
        <w:spacing w:after="60" w:before="40"/>
      </w:pPr>
      <w:r>
        <w:rPr>
          <w:rFonts w:ascii="Calibri" w:cs="Calibri" w:eastAsia="Calibri" w:hAnsi="Calibri"/>
          <w:b/>
          <w:bCs/>
          <w:color w:val="1A56B0"/>
          <w:sz w:val="22"/>
          <w:szCs w:val="22"/>
        </w:rPr>
        <w:t xml:space="preserve">Principle of Least Privilege: </w:t>
      </w:r>
      <w:r>
        <w:rPr>
          <w:rFonts w:ascii="Calibri" w:cs="Calibri" w:eastAsia="Calibri" w:hAnsi="Calibri"/>
          <w:color w:val="222222"/>
          <w:sz w:val="22"/>
          <w:szCs w:val="22"/>
        </w:rPr>
        <w:t xml:space="preserve">Users, systems, and services should only have access to resources strictly necessary for their function. Restricts blast radius if credentials are compromised. Review and revoke excess permissions quarterly.</w:t>
      </w:r>
    </w:p>
    <w:p>
      <w:pPr>
        <w:pStyle w:val="ListParagraph"/>
        <w:numPr>
          <w:ilvl w:val="0"/>
          <w:numId w:val="2"/>
        </w:numPr>
        <w:spacing w:after="60" w:before="40"/>
      </w:pPr>
      <w:r>
        <w:rPr>
          <w:rFonts w:ascii="Calibri" w:cs="Calibri" w:eastAsia="Calibri" w:hAnsi="Calibri"/>
          <w:b/>
          <w:bCs/>
          <w:color w:val="1A56B0"/>
          <w:sz w:val="22"/>
          <w:szCs w:val="22"/>
        </w:rPr>
        <w:t xml:space="preserve">Endpoint Detection &amp; Response (EDR): </w:t>
      </w:r>
      <w:r>
        <w:rPr>
          <w:rFonts w:ascii="Calibri" w:cs="Calibri" w:eastAsia="Calibri" w:hAnsi="Calibri"/>
          <w:color w:val="222222"/>
          <w:sz w:val="22"/>
          <w:szCs w:val="22"/>
        </w:rPr>
        <w:t xml:space="preserve">Deploy behavioral EDR solutions (CrowdStrike Falcon, SentinelOne, Microsoft Defender) that detect ransomware-like behavior (mass file encryption, process injection) before encryption completes.</w:t>
      </w:r>
    </w:p>
    <w:p>
      <w:pPr>
        <w:pStyle w:val="ListParagraph"/>
        <w:numPr>
          <w:ilvl w:val="0"/>
          <w:numId w:val="2"/>
        </w:numPr>
        <w:spacing w:after="60" w:before="40"/>
      </w:pPr>
      <w:r>
        <w:rPr>
          <w:rFonts w:ascii="Calibri" w:cs="Calibri" w:eastAsia="Calibri" w:hAnsi="Calibri"/>
          <w:b/>
          <w:bCs/>
          <w:color w:val="1A56B0"/>
          <w:sz w:val="22"/>
          <w:szCs w:val="22"/>
        </w:rPr>
        <w:t xml:space="preserve">Disable Unnecessary Services: </w:t>
      </w:r>
      <w:r>
        <w:rPr>
          <w:rFonts w:ascii="Calibri" w:cs="Calibri" w:eastAsia="Calibri" w:hAnsi="Calibri"/>
          <w:color w:val="222222"/>
          <w:sz w:val="22"/>
          <w:szCs w:val="22"/>
        </w:rPr>
        <w:t xml:space="preserve">Disable RDP when not required; use VPN with MFA for all remote access. RDP on port 3389 exposed to the internet is one of the top ransomware entry points.</w:t>
      </w:r>
    </w:p>
    <w:p>
      <w:pPr>
        <w:pStyle w:val="ListParagraph"/>
        <w:numPr>
          <w:ilvl w:val="0"/>
          <w:numId w:val="2"/>
        </w:numPr>
        <w:spacing w:after="60" w:before="40"/>
      </w:pPr>
      <w:r>
        <w:rPr>
          <w:rFonts w:ascii="Calibri" w:cs="Calibri" w:eastAsia="Calibri" w:hAnsi="Calibri"/>
          <w:b/>
          <w:bCs/>
          <w:color w:val="1A56B0"/>
          <w:sz w:val="22"/>
          <w:szCs w:val="22"/>
        </w:rPr>
        <w:t xml:space="preserve">Incident Response Plan (IRP): </w:t>
      </w:r>
      <w:r>
        <w:rPr>
          <w:rFonts w:ascii="Calibri" w:cs="Calibri" w:eastAsia="Calibri" w:hAnsi="Calibri"/>
          <w:color w:val="222222"/>
          <w:sz w:val="22"/>
          <w:szCs w:val="22"/>
        </w:rPr>
        <w:t xml:space="preserve">Maintain a documented, regularly tested ransomware-specific IRP including: isolation procedures, law enforcement contacts, backup restoration runbooks, and communication templates for customers and regulators.</w:t>
      </w:r>
    </w:p>
    <w:p>
      <w:pPr>
        <w:pStyle w:val="Heading2"/>
        <w:spacing w:after="100" w:before="280"/>
      </w:pPr>
      <w:r>
        <w:rPr>
          <w:rFonts w:ascii="Calibri" w:cs="Calibri" w:eastAsia="Calibri" w:hAnsi="Calibri"/>
          <w:b/>
          <w:bCs/>
          <w:color w:val="1A56B0"/>
          <w:sz w:val="28"/>
          <w:szCs w:val="28"/>
        </w:rPr>
        <w:t xml:space="preserve">5.3 Securing Cloud Environments</w:t>
      </w:r>
    </w:p>
    <w:p>
      <w:pPr>
        <w:pStyle w:val="ListParagraph"/>
        <w:numPr>
          <w:ilvl w:val="0"/>
          <w:numId w:val="2"/>
        </w:numPr>
        <w:spacing w:after="60" w:before="40"/>
      </w:pPr>
      <w:r>
        <w:rPr>
          <w:rFonts w:ascii="Calibri" w:cs="Calibri" w:eastAsia="Calibri" w:hAnsi="Calibri"/>
          <w:b/>
          <w:bCs/>
          <w:color w:val="1A56B0"/>
          <w:sz w:val="22"/>
          <w:szCs w:val="22"/>
        </w:rPr>
        <w:t xml:space="preserve">Cloud Security Posture Management (CSPM): </w:t>
      </w:r>
      <w:r>
        <w:rPr>
          <w:rFonts w:ascii="Calibri" w:cs="Calibri" w:eastAsia="Calibri" w:hAnsi="Calibri"/>
          <w:color w:val="222222"/>
          <w:sz w:val="22"/>
          <w:szCs w:val="22"/>
        </w:rPr>
        <w:t xml:space="preserve">Continuously audit cloud configurations using tools like AWS Security Hub, Microsoft Defender for Cloud, or Prisma Cloud. Automated checks detect misconfigurations within minutes of occurrence.</w:t>
      </w:r>
    </w:p>
    <w:p>
      <w:pPr>
        <w:pStyle w:val="ListParagraph"/>
        <w:numPr>
          <w:ilvl w:val="0"/>
          <w:numId w:val="2"/>
        </w:numPr>
        <w:spacing w:after="60" w:before="40"/>
      </w:pPr>
      <w:r>
        <w:rPr>
          <w:rFonts w:ascii="Calibri" w:cs="Calibri" w:eastAsia="Calibri" w:hAnsi="Calibri"/>
          <w:b/>
          <w:bCs/>
          <w:color w:val="1A56B0"/>
          <w:sz w:val="22"/>
          <w:szCs w:val="22"/>
        </w:rPr>
        <w:t xml:space="preserve">Least-Privilege IAM: </w:t>
      </w:r>
      <w:r>
        <w:rPr>
          <w:rFonts w:ascii="Calibri" w:cs="Calibri" w:eastAsia="Calibri" w:hAnsi="Calibri"/>
          <w:color w:val="222222"/>
          <w:sz w:val="22"/>
          <w:szCs w:val="22"/>
        </w:rPr>
        <w:t xml:space="preserve">Regularly audit IAM roles and policies; remove unused roles; enforce time-limited credentials; require MFA for all privileged operations; rotate access keys every 90 days.</w:t>
      </w:r>
    </w:p>
    <w:p>
      <w:pPr>
        <w:pStyle w:val="ListParagraph"/>
        <w:numPr>
          <w:ilvl w:val="0"/>
          <w:numId w:val="2"/>
        </w:numPr>
        <w:spacing w:after="60" w:before="40"/>
      </w:pPr>
      <w:r>
        <w:rPr>
          <w:rFonts w:ascii="Calibri" w:cs="Calibri" w:eastAsia="Calibri" w:hAnsi="Calibri"/>
          <w:b/>
          <w:bCs/>
          <w:color w:val="1A56B0"/>
          <w:sz w:val="22"/>
          <w:szCs w:val="22"/>
        </w:rPr>
        <w:t xml:space="preserve">Secrets Management: </w:t>
      </w:r>
      <w:r>
        <w:rPr>
          <w:rFonts w:ascii="Calibri" w:cs="Calibri" w:eastAsia="Calibri" w:hAnsi="Calibri"/>
          <w:color w:val="222222"/>
          <w:sz w:val="22"/>
          <w:szCs w:val="22"/>
        </w:rPr>
        <w:t xml:space="preserve">Use dedicated secrets management tools (AWS Secrets Manager, HashiCorp Vault, Azure Key Vault) to eliminate hardcoded credentials in code. Pre-commit hooks can scan for accidentally committed secrets.</w:t>
      </w:r>
    </w:p>
    <w:p>
      <w:pPr>
        <w:pStyle w:val="ListParagraph"/>
        <w:numPr>
          <w:ilvl w:val="0"/>
          <w:numId w:val="2"/>
        </w:numPr>
        <w:spacing w:after="60" w:before="40"/>
      </w:pPr>
      <w:r>
        <w:rPr>
          <w:rFonts w:ascii="Calibri" w:cs="Calibri" w:eastAsia="Calibri" w:hAnsi="Calibri"/>
          <w:b/>
          <w:bCs/>
          <w:color w:val="1A56B0"/>
          <w:sz w:val="22"/>
          <w:szCs w:val="22"/>
        </w:rPr>
        <w:t xml:space="preserve">Encryption Everywhere: </w:t>
      </w:r>
      <w:r>
        <w:rPr>
          <w:rFonts w:ascii="Calibri" w:cs="Calibri" w:eastAsia="Calibri" w:hAnsi="Calibri"/>
          <w:color w:val="222222"/>
          <w:sz w:val="22"/>
          <w:szCs w:val="22"/>
        </w:rPr>
        <w:t xml:space="preserve">Enable server-side encryption for all cloud storage by default. Use TLS 1.3 for all data in transit. Enforce encryption at-rest for all databases and storage services with customer-managed keys.</w:t>
      </w:r>
    </w:p>
    <w:p>
      <w:pPr>
        <w:pStyle w:val="ListParagraph"/>
        <w:numPr>
          <w:ilvl w:val="0"/>
          <w:numId w:val="2"/>
        </w:numPr>
        <w:spacing w:after="60" w:before="40"/>
      </w:pPr>
      <w:r>
        <w:rPr>
          <w:rFonts w:ascii="Calibri" w:cs="Calibri" w:eastAsia="Calibri" w:hAnsi="Calibri"/>
          <w:b/>
          <w:bCs/>
          <w:color w:val="1A56B0"/>
          <w:sz w:val="22"/>
          <w:szCs w:val="22"/>
        </w:rPr>
        <w:t xml:space="preserve">Cloud Access Security Broker (CASB): </w:t>
      </w:r>
      <w:r>
        <w:rPr>
          <w:rFonts w:ascii="Calibri" w:cs="Calibri" w:eastAsia="Calibri" w:hAnsi="Calibri"/>
          <w:color w:val="222222"/>
          <w:sz w:val="22"/>
          <w:szCs w:val="22"/>
        </w:rPr>
        <w:t xml:space="preserve">Deploy CASB solutions to monitor shadow IT (unauthorized cloud services), enforce security policies across all cloud usage, and detect anomalous data movement that may indicate breach or insider threat.</w:t>
      </w:r>
    </w:p>
    <w:p>
      <w:pPr>
        <w:pStyle w:val="Heading2"/>
        <w:spacing w:after="100" w:before="280"/>
      </w:pPr>
      <w:r>
        <w:rPr>
          <w:rFonts w:ascii="Calibri" w:cs="Calibri" w:eastAsia="Calibri" w:hAnsi="Calibri"/>
          <w:b/>
          <w:bCs/>
          <w:color w:val="1A56B0"/>
          <w:sz w:val="28"/>
          <w:szCs w:val="28"/>
        </w:rPr>
        <w:t xml:space="preserve">5.4 Securing IoT Devices</w:t>
      </w:r>
    </w:p>
    <w:p>
      <w:pPr>
        <w:pStyle w:val="ListParagraph"/>
        <w:numPr>
          <w:ilvl w:val="0"/>
          <w:numId w:val="2"/>
        </w:numPr>
        <w:spacing w:after="60" w:before="40"/>
      </w:pPr>
      <w:r>
        <w:rPr>
          <w:rFonts w:ascii="Calibri" w:cs="Calibri" w:eastAsia="Calibri" w:hAnsi="Calibri"/>
          <w:b/>
          <w:bCs/>
          <w:color w:val="1A56B0"/>
          <w:sz w:val="22"/>
          <w:szCs w:val="22"/>
        </w:rPr>
        <w:t xml:space="preserve">Mandatory Credential Changes: </w:t>
      </w:r>
      <w:r>
        <w:rPr>
          <w:rFonts w:ascii="Calibri" w:cs="Calibri" w:eastAsia="Calibri" w:hAnsi="Calibri"/>
          <w:color w:val="222222"/>
          <w:sz w:val="22"/>
          <w:szCs w:val="22"/>
        </w:rPr>
        <w:t xml:space="preserve">Change ALL default passwords immediately upon device setup. Use a password manager to generate and store unique 16+ character passwords for every IoT device. This single step defeats the vast majority of IoT attacks including Mirai.</w:t>
      </w:r>
    </w:p>
    <w:p>
      <w:pPr>
        <w:pStyle w:val="ListParagraph"/>
        <w:numPr>
          <w:ilvl w:val="0"/>
          <w:numId w:val="2"/>
        </w:numPr>
        <w:spacing w:after="60" w:before="40"/>
      </w:pPr>
      <w:r>
        <w:rPr>
          <w:rFonts w:ascii="Calibri" w:cs="Calibri" w:eastAsia="Calibri" w:hAnsi="Calibri"/>
          <w:b/>
          <w:bCs/>
          <w:color w:val="1A56B0"/>
          <w:sz w:val="22"/>
          <w:szCs w:val="22"/>
        </w:rPr>
        <w:t xml:space="preserve">Network Segmentation: </w:t>
      </w:r>
      <w:r>
        <w:rPr>
          <w:rFonts w:ascii="Calibri" w:cs="Calibri" w:eastAsia="Calibri" w:hAnsi="Calibri"/>
          <w:color w:val="222222"/>
          <w:sz w:val="22"/>
          <w:szCs w:val="22"/>
        </w:rPr>
        <w:t xml:space="preserve">Place ALL IoT devices on an isolated VLAN/network segment separated from business-critical or personal systems by a firewall. If an IoT device is compromised, segmentation prevents lateral movement to sensitive data.</w:t>
      </w:r>
    </w:p>
    <w:p>
      <w:pPr>
        <w:pStyle w:val="ListParagraph"/>
        <w:numPr>
          <w:ilvl w:val="0"/>
          <w:numId w:val="2"/>
        </w:numPr>
        <w:spacing w:after="60" w:before="40"/>
      </w:pPr>
      <w:r>
        <w:rPr>
          <w:rFonts w:ascii="Calibri" w:cs="Calibri" w:eastAsia="Calibri" w:hAnsi="Calibri"/>
          <w:b/>
          <w:bCs/>
          <w:color w:val="1A56B0"/>
          <w:sz w:val="22"/>
          <w:szCs w:val="22"/>
        </w:rPr>
        <w:t xml:space="preserve">Firmware Update Management: </w:t>
      </w:r>
      <w:r>
        <w:rPr>
          <w:rFonts w:ascii="Calibri" w:cs="Calibri" w:eastAsia="Calibri" w:hAnsi="Calibri"/>
          <w:color w:val="222222"/>
          <w:sz w:val="22"/>
          <w:szCs w:val="22"/>
        </w:rPr>
        <w:t xml:space="preserve">Enable automatic updates where available; establish a patch management process for devices requiring manual updates. Inventory all IoT devices using a Network Access Control (NAC) solution.</w:t>
      </w:r>
    </w:p>
    <w:p>
      <w:pPr>
        <w:pStyle w:val="ListParagraph"/>
        <w:numPr>
          <w:ilvl w:val="0"/>
          <w:numId w:val="2"/>
        </w:numPr>
        <w:spacing w:after="60" w:before="40"/>
      </w:pPr>
      <w:r>
        <w:rPr>
          <w:rFonts w:ascii="Calibri" w:cs="Calibri" w:eastAsia="Calibri" w:hAnsi="Calibri"/>
          <w:b/>
          <w:bCs/>
          <w:color w:val="1A56B0"/>
          <w:sz w:val="22"/>
          <w:szCs w:val="22"/>
        </w:rPr>
        <w:t xml:space="preserve">Disable Unnecessary Features: </w:t>
      </w:r>
      <w:r>
        <w:rPr>
          <w:rFonts w:ascii="Calibri" w:cs="Calibri" w:eastAsia="Calibri" w:hAnsi="Calibri"/>
          <w:color w:val="222222"/>
          <w:sz w:val="22"/>
          <w:szCs w:val="22"/>
        </w:rPr>
        <w:t xml:space="preserve">Disable Universal Plug and Play (UPnP), remote management interfaces, and unused services. If a feature isn't needed, it shouldn't be exposed. Restrict outbound internet access for IoT devices where possible.</w:t>
      </w:r>
    </w:p>
    <w:p>
      <w:pPr>
        <w:pStyle w:val="ListParagraph"/>
        <w:numPr>
          <w:ilvl w:val="0"/>
          <w:numId w:val="2"/>
        </w:numPr>
        <w:spacing w:after="60" w:before="40"/>
      </w:pPr>
      <w:r>
        <w:rPr>
          <w:rFonts w:ascii="Calibri" w:cs="Calibri" w:eastAsia="Calibri" w:hAnsi="Calibri"/>
          <w:b/>
          <w:bCs/>
          <w:color w:val="1A56B0"/>
          <w:sz w:val="22"/>
          <w:szCs w:val="22"/>
        </w:rPr>
        <w:t xml:space="preserve">IoT Security Standards: </w:t>
      </w:r>
      <w:r>
        <w:rPr>
          <w:rFonts w:ascii="Calibri" w:cs="Calibri" w:eastAsia="Calibri" w:hAnsi="Calibri"/>
          <w:color w:val="222222"/>
          <w:sz w:val="22"/>
          <w:szCs w:val="22"/>
        </w:rPr>
        <w:t xml:space="preserve">For enterprise procurement, require IoT vendors to comply with NIST IR 8259 or IEC 62443 security standards. Conduct security assessments before deploying new connected devices in sensitive environments.</w:t>
      </w:r>
    </w:p>
    <w:p>
      <w:pPr>
        <w:pStyle w:val="Heading2"/>
        <w:spacing w:after="100" w:before="280"/>
      </w:pPr>
      <w:r>
        <w:rPr>
          <w:rFonts w:ascii="Calibri" w:cs="Calibri" w:eastAsia="Calibri" w:hAnsi="Calibri"/>
          <w:b/>
          <w:bCs/>
          <w:color w:val="1A56B0"/>
          <w:sz w:val="28"/>
          <w:szCs w:val="28"/>
        </w:rPr>
        <w:t xml:space="preserve">5.5 Mitigating Zero-Day Risk</w:t>
      </w:r>
    </w:p>
    <w:p>
      <w:pPr>
        <w:pStyle w:val="ListParagraph"/>
        <w:numPr>
          <w:ilvl w:val="0"/>
          <w:numId w:val="2"/>
        </w:numPr>
        <w:spacing w:after="60" w:before="40"/>
      </w:pPr>
      <w:r>
        <w:rPr>
          <w:rFonts w:ascii="Calibri" w:cs="Calibri" w:eastAsia="Calibri" w:hAnsi="Calibri"/>
          <w:b/>
          <w:bCs/>
          <w:color w:val="1A56B0"/>
          <w:sz w:val="22"/>
          <w:szCs w:val="22"/>
        </w:rPr>
        <w:t xml:space="preserve">Zero Trust Architecture: </w:t>
      </w:r>
      <w:r>
        <w:rPr>
          <w:rFonts w:ascii="Calibri" w:cs="Calibri" w:eastAsia="Calibri" w:hAnsi="Calibri"/>
          <w:color w:val="222222"/>
          <w:sz w:val="22"/>
          <w:szCs w:val="22"/>
        </w:rPr>
        <w:t xml:space="preserve">Implement Zero Trust Security — 'never trust, always verify.' Strict identity verification for every user and device, micro-segmentation to limit blast radius, and least-privilege access limits damage even when a zero-day is exploited.</w:t>
      </w:r>
    </w:p>
    <w:p>
      <w:pPr>
        <w:pStyle w:val="ListParagraph"/>
        <w:numPr>
          <w:ilvl w:val="0"/>
          <w:numId w:val="2"/>
        </w:numPr>
        <w:spacing w:after="60" w:before="40"/>
      </w:pPr>
      <w:r>
        <w:rPr>
          <w:rFonts w:ascii="Calibri" w:cs="Calibri" w:eastAsia="Calibri" w:hAnsi="Calibri"/>
          <w:b/>
          <w:bCs/>
          <w:color w:val="1A56B0"/>
          <w:sz w:val="22"/>
          <w:szCs w:val="22"/>
        </w:rPr>
        <w:t xml:space="preserve">Rapid Patch Management: </w:t>
      </w:r>
      <w:r>
        <w:rPr>
          <w:rFonts w:ascii="Calibri" w:cs="Calibri" w:eastAsia="Calibri" w:hAnsi="Calibri"/>
          <w:color w:val="222222"/>
          <w:sz w:val="22"/>
          <w:szCs w:val="22"/>
        </w:rPr>
        <w:t xml:space="preserve">Establish SLA-driven patch management: critical patches within 24–48 hours, high within 7 days. Subscribe to vendor security advisories, CISA KEV catalog, and NVD to be alerted the moment patches release.</w:t>
      </w:r>
    </w:p>
    <w:p>
      <w:pPr>
        <w:pStyle w:val="ListParagraph"/>
        <w:numPr>
          <w:ilvl w:val="0"/>
          <w:numId w:val="2"/>
        </w:numPr>
        <w:spacing w:after="60" w:before="40"/>
      </w:pPr>
      <w:r>
        <w:rPr>
          <w:rFonts w:ascii="Calibri" w:cs="Calibri" w:eastAsia="Calibri" w:hAnsi="Calibri"/>
          <w:b/>
          <w:bCs/>
          <w:color w:val="1A56B0"/>
          <w:sz w:val="22"/>
          <w:szCs w:val="22"/>
        </w:rPr>
        <w:t xml:space="preserve">Web Application Firewall (WAF) &amp; IDS/IPS: </w:t>
      </w:r>
      <w:r>
        <w:rPr>
          <w:rFonts w:ascii="Calibri" w:cs="Calibri" w:eastAsia="Calibri" w:hAnsi="Calibri"/>
          <w:color w:val="222222"/>
          <w:sz w:val="22"/>
          <w:szCs w:val="22"/>
        </w:rPr>
        <w:t xml:space="preserve">WAFs provide virtual patching capability — blocking known exploit patterns even before official patches exist. IDS/IPS solutions detect anomalous network behavior indicative of zero-day exploitation.</w:t>
      </w:r>
    </w:p>
    <w:p>
      <w:pPr>
        <w:pStyle w:val="ListParagraph"/>
        <w:numPr>
          <w:ilvl w:val="0"/>
          <w:numId w:val="2"/>
        </w:numPr>
        <w:spacing w:after="60" w:before="40"/>
      </w:pPr>
      <w:r>
        <w:rPr>
          <w:rFonts w:ascii="Calibri" w:cs="Calibri" w:eastAsia="Calibri" w:hAnsi="Calibri"/>
          <w:b/>
          <w:bCs/>
          <w:color w:val="1A56B0"/>
          <w:sz w:val="22"/>
          <w:szCs w:val="22"/>
        </w:rPr>
        <w:t xml:space="preserve">Threat Intelligence Feeds: </w:t>
      </w:r>
      <w:r>
        <w:rPr>
          <w:rFonts w:ascii="Calibri" w:cs="Calibri" w:eastAsia="Calibri" w:hAnsi="Calibri"/>
          <w:color w:val="222222"/>
          <w:sz w:val="22"/>
          <w:szCs w:val="22"/>
        </w:rPr>
        <w:t xml:space="preserve">Subscribe to CISA Known Exploited Vulnerabilities (KEV) catalog, vendor security bulletins, and commercial threat intel (Recorded Future, CrowdStrike Adversary Intelligence) to prioritize patching and defensive adjustments.</w:t>
      </w:r>
    </w:p>
    <w:p>
      <w:pPr>
        <w:pStyle w:val="ListParagraph"/>
        <w:numPr>
          <w:ilvl w:val="0"/>
          <w:numId w:val="2"/>
        </w:numPr>
        <w:spacing w:after="60" w:before="40"/>
      </w:pPr>
      <w:r>
        <w:rPr>
          <w:rFonts w:ascii="Calibri" w:cs="Calibri" w:eastAsia="Calibri" w:hAnsi="Calibri"/>
          <w:b/>
          <w:bCs/>
          <w:color w:val="1A56B0"/>
          <w:sz w:val="22"/>
          <w:szCs w:val="22"/>
        </w:rPr>
        <w:t xml:space="preserve">Attack Surface Reduction: </w:t>
      </w:r>
      <w:r>
        <w:rPr>
          <w:rFonts w:ascii="Calibri" w:cs="Calibri" w:eastAsia="Calibri" w:hAnsi="Calibri"/>
          <w:color w:val="222222"/>
          <w:sz w:val="22"/>
          <w:szCs w:val="22"/>
        </w:rPr>
        <w:t xml:space="preserve">Minimize the software inventory (remove unused applications), disable deprecated protocols, and avoid exposing management interfaces to the internet. Smaller attack surface = fewer zero-day opportunities.</w:t>
      </w:r>
    </w:p>
    <w:p>
      <w:pPr>
        <w:spacing w:after="0" w:before="0"/>
      </w:pPr>
      <w:r>
        <w:t xml:space="preserve"/>
      </w:r>
    </w:p>
    <w:p>
      <w:pPr>
        <w:pStyle w:val="Heading2"/>
        <w:spacing w:after="100" w:before="280"/>
      </w:pPr>
      <w:r>
        <w:rPr>
          <w:rFonts w:ascii="Calibri" w:cs="Calibri" w:eastAsia="Calibri" w:hAnsi="Calibri"/>
          <w:b/>
          <w:bCs/>
          <w:color w:val="1A56B0"/>
          <w:sz w:val="28"/>
          <w:szCs w:val="28"/>
        </w:rPr>
        <w:t xml:space="preserve">5.6 Universal Security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5E3" w:val="clear"/>
            <w:tcMar>
              <w:top w:type="dxa" w:w="120"/>
              <w:left w:type="dxa" w:w="200"/>
              <w:bottom w:type="dxa" w:w="120"/>
              <w:right w:type="dxa" w:w="200"/>
            </w:tcMar>
          </w:tcPr>
          <w:p>
            <w:pPr>
              <w:spacing w:after="60" w:before="0"/>
            </w:pPr>
            <w:r>
              <w:rPr>
                <w:rFonts w:ascii="Calibri" w:cs="Calibri" w:eastAsia="Calibri" w:hAnsi="Calibri"/>
                <w:b/>
                <w:bCs/>
                <w:color w:val="1A6B3C"/>
                <w:sz w:val="22"/>
                <w:szCs w:val="22"/>
              </w:rPr>
              <w:t xml:space="preserve">🛡️ Every Organization Must Implement These Foundational Controls</w:t>
            </w:r>
          </w:p>
          <w:p>
            <w:pPr>
              <w:spacing w:after="0" w:before="0"/>
              <w:jc w:val="both"/>
            </w:pPr>
            <w:r>
              <w:rPr>
                <w:rFonts w:ascii="Calibri" w:cs="Calibri" w:eastAsia="Calibri" w:hAnsi="Calibri"/>
                <w:color w:val="333333"/>
                <w:sz w:val="21"/>
                <w:szCs w:val="21"/>
              </w:rPr>
              <w:t xml:space="preserve">• Enable MFA on all accounts without exception — this alone prevents 99.9% of automated attacks (Microsoft)
• Use unique, complex passwords via a password manager for every account and service
• Encrypt all sensitive data at rest and in transit (TLS 1.3 minimum)
• Conduct quarterly access reviews — revoke unused accounts and excessive permissions
• Implement Security Information &amp; Event Management (SIEM) for centralized log monitoring
• Align to security frameworks: NIST CSF, ISO 27001, CIS Controls v8
• Conduct annual penetration testing and regular vulnerability assessments
• Develop and test Business Continuity (BCP) and Disaster Recovery (DRP) plans
• Establish a Security Operations Center (SOC) or partner with a Managed Security Service Provider (MSSP)
• Comply with applicable regulations: GDPR, HIPAA, PCI-DSS, DPDP Act (India)</w:t>
            </w:r>
          </w:p>
        </w:tc>
      </w:tr>
    </w:tbl>
    <w:p>
      <w:r>
        <w:br/>
      </w:r>
    </w:p>
    <w:p>
      <w:pPr>
        <w:pStyle w:val="Heading1"/>
        <w:pBdr>
          <w:bottom w:val="single" w:color="1A56B0" w:sz="10" w:space="6"/>
        </w:pBdr>
        <w:spacing w:after="160" w:before="400"/>
      </w:pPr>
      <w:r>
        <w:rPr>
          <w:rFonts w:ascii="Calibri" w:cs="Calibri" w:eastAsia="Calibri" w:hAnsi="Calibri"/>
          <w:b/>
          <w:bCs/>
          <w:caps/>
          <w:color w:val="0D2B6E"/>
          <w:sz w:val="34"/>
          <w:szCs w:val="34"/>
        </w:rPr>
        <w:t xml:space="preserve">6. Conclusion &amp; Future Scope</w:t>
      </w:r>
    </w:p>
    <w:p>
      <w:pPr>
        <w:pStyle w:val="Heading2"/>
        <w:spacing w:after="100" w:before="280"/>
      </w:pPr>
      <w:r>
        <w:rPr>
          <w:rFonts w:ascii="Calibri" w:cs="Calibri" w:eastAsia="Calibri" w:hAnsi="Calibri"/>
          <w:b/>
          <w:bCs/>
          <w:color w:val="1A56B0"/>
          <w:sz w:val="28"/>
          <w:szCs w:val="28"/>
        </w:rPr>
        <w:t xml:space="preserve">6.1 Conclusion</w:t>
      </w:r>
    </w:p>
    <w:p>
      <w:pPr>
        <w:spacing w:after="120" w:before="60"/>
        <w:jc w:val="both"/>
      </w:pPr>
      <w:r>
        <w:rPr>
          <w:rFonts w:ascii="Calibri" w:cs="Calibri" w:eastAsia="Calibri" w:hAnsi="Calibri"/>
          <w:b w:val="false"/>
          <w:bCs w:val="false"/>
          <w:i w:val="false"/>
          <w:iCs w:val="false"/>
          <w:color w:val="222222"/>
          <w:sz w:val="22"/>
          <w:szCs w:val="22"/>
        </w:rPr>
        <w:t xml:space="preserve">The cybersecurity threat landscape of 2024–2025 presents organizations and individuals with challenges of unprecedented scale, sophistication, and consequence. The five threats analyzed in this report — AI-powered phishing, Ransomware-as-a-Service, cloud misconfigurations, IoT vulnerabilities, and zero-day exploits — are not isolated problems. They represent an interconnected ecosystem of exploitation where a phishing email can deliver ransomware, a cloud misconfiguration can expose the data that enables spear-phishing, and a zero-day can bypass every existing control.</w:t>
      </w:r>
    </w:p>
    <w:p>
      <w:pPr>
        <w:spacing w:after="120" w:before="60"/>
        <w:jc w:val="both"/>
      </w:pPr>
      <w:r>
        <w:rPr>
          <w:rFonts w:ascii="Calibri" w:cs="Calibri" w:eastAsia="Calibri" w:hAnsi="Calibri"/>
          <w:b w:val="false"/>
          <w:bCs w:val="false"/>
          <w:i w:val="false"/>
          <w:iCs w:val="false"/>
          <w:color w:val="222222"/>
          <w:sz w:val="22"/>
          <w:szCs w:val="22"/>
        </w:rPr>
        <w:t xml:space="preserve">The real-world case studies — from the MGM Resorts social engineering attack requiring zero technical skill, to the MOVEit zero-day simultaneously compromising 2,700 organizations — demonstrate that no size of organization, no level of investment, and no existing security posture guarantees immunity. The question is never if an attack will occur, but when, and whether the organization is prepared to detect, respond, and recover.</w:t>
      </w:r>
    </w:p>
    <w:p>
      <w:pPr>
        <w:spacing w:after="120" w:before="60"/>
        <w:jc w:val="both"/>
      </w:pPr>
      <w:r>
        <w:rPr>
          <w:rFonts w:ascii="Calibri" w:cs="Calibri" w:eastAsia="Calibri" w:hAnsi="Calibri"/>
          <w:b w:val="false"/>
          <w:bCs w:val="false"/>
          <w:i w:val="false"/>
          <w:iCs w:val="false"/>
          <w:color w:val="222222"/>
          <w:sz w:val="22"/>
          <w:szCs w:val="22"/>
        </w:rPr>
        <w:t xml:space="preserve">Proactive cybersecurity — characterized by continuous risk assessment, threat-informed defense, security-by-design in all systems, regular testing, and a culture of security awareness — remains the only effective response. Reactive security is always too late; the cost of prevention is a fraction of the cost of a breach.</w:t>
      </w:r>
    </w:p>
    <w:p>
      <w:pPr>
        <w:pStyle w:val="Heading2"/>
        <w:spacing w:after="100" w:before="280"/>
      </w:pPr>
      <w:r>
        <w:rPr>
          <w:rFonts w:ascii="Calibri" w:cs="Calibri" w:eastAsia="Calibri" w:hAnsi="Calibri"/>
          <w:b/>
          <w:bCs/>
          <w:color w:val="1A56B0"/>
          <w:sz w:val="28"/>
          <w:szCs w:val="28"/>
        </w:rPr>
        <w:t xml:space="preserve">6.2 Emerging Threats: The Road Ahead (2025 and Beyond)</w:t>
      </w:r>
    </w:p>
    <w:p>
      <w:pPr>
        <w:pStyle w:val="ListParagraph"/>
        <w:numPr>
          <w:ilvl w:val="0"/>
          <w:numId w:val="2"/>
        </w:numPr>
        <w:spacing w:after="60" w:before="40"/>
      </w:pPr>
      <w:r>
        <w:rPr>
          <w:rFonts w:ascii="Calibri" w:cs="Calibri" w:eastAsia="Calibri" w:hAnsi="Calibri"/>
          <w:b/>
          <w:bCs/>
          <w:color w:val="C0392B"/>
          <w:sz w:val="22"/>
          <w:szCs w:val="22"/>
        </w:rPr>
        <w:t xml:space="preserve">Post-Quantum Cryptography Threat: </w:t>
      </w:r>
      <w:r>
        <w:rPr>
          <w:rFonts w:ascii="Calibri" w:cs="Calibri" w:eastAsia="Calibri" w:hAnsi="Calibri"/>
          <w:color w:val="222222"/>
          <w:sz w:val="22"/>
          <w:szCs w:val="22"/>
        </w:rPr>
        <w:t xml:space="preserve">Quantum computers advancing toward cryptographic relevance will eventually break RSA-2048 and ECC encryption protecting most of today's internet. Organizations must begin Post-Quantum Cryptography (PQC) migration now — NIST finalized PQC standards in 2024.</w:t>
      </w:r>
    </w:p>
    <w:p>
      <w:pPr>
        <w:pStyle w:val="ListParagraph"/>
        <w:numPr>
          <w:ilvl w:val="0"/>
          <w:numId w:val="2"/>
        </w:numPr>
        <w:spacing w:after="60" w:before="40"/>
      </w:pPr>
      <w:r>
        <w:rPr>
          <w:rFonts w:ascii="Calibri" w:cs="Calibri" w:eastAsia="Calibri" w:hAnsi="Calibri"/>
          <w:b/>
          <w:bCs/>
          <w:color w:val="C0392B"/>
          <w:sz w:val="22"/>
          <w:szCs w:val="22"/>
        </w:rPr>
        <w:t xml:space="preserve">AI vs. AI Security Arms Race: </w:t>
      </w:r>
      <w:r>
        <w:rPr>
          <w:rFonts w:ascii="Calibri" w:cs="Calibri" w:eastAsia="Calibri" w:hAnsi="Calibri"/>
          <w:color w:val="222222"/>
          <w:sz w:val="22"/>
          <w:szCs w:val="22"/>
        </w:rPr>
        <w:t xml:space="preserve">Attackers use adversarial AI to evade AI-based detection systems. Defenders deploy AI for anomaly detection; attackers generate adversarial inputs to fool those models. This escalating arms race will define cybersecurity for the next decade.</w:t>
      </w:r>
    </w:p>
    <w:p>
      <w:pPr>
        <w:pStyle w:val="ListParagraph"/>
        <w:numPr>
          <w:ilvl w:val="0"/>
          <w:numId w:val="2"/>
        </w:numPr>
        <w:spacing w:after="60" w:before="40"/>
      </w:pPr>
      <w:r>
        <w:rPr>
          <w:rFonts w:ascii="Calibri" w:cs="Calibri" w:eastAsia="Calibri" w:hAnsi="Calibri"/>
          <w:b/>
          <w:bCs/>
          <w:color w:val="C0392B"/>
          <w:sz w:val="22"/>
          <w:szCs w:val="22"/>
        </w:rPr>
        <w:t xml:space="preserve">Hyper-Realistic Deepfake Fraud: </w:t>
      </w:r>
      <w:r>
        <w:rPr>
          <w:rFonts w:ascii="Calibri" w:cs="Calibri" w:eastAsia="Calibri" w:hAnsi="Calibri"/>
          <w:color w:val="222222"/>
          <w:sz w:val="22"/>
          <w:szCs w:val="22"/>
        </w:rPr>
        <w:t xml:space="preserve">By 2026, deepfake video quality will be indistinguishable from reality in real-time calls. A Hong Kong finance worker was already defrauded of $25 million in 2024 via deepfake video conference with a 'CFO'. This will become a mass-market threat.</w:t>
      </w:r>
    </w:p>
    <w:p>
      <w:pPr>
        <w:pStyle w:val="ListParagraph"/>
        <w:numPr>
          <w:ilvl w:val="0"/>
          <w:numId w:val="2"/>
        </w:numPr>
        <w:spacing w:after="60" w:before="40"/>
      </w:pPr>
      <w:r>
        <w:rPr>
          <w:rFonts w:ascii="Calibri" w:cs="Calibri" w:eastAsia="Calibri" w:hAnsi="Calibri"/>
          <w:b/>
          <w:bCs/>
          <w:color w:val="C0392B"/>
          <w:sz w:val="22"/>
          <w:szCs w:val="22"/>
        </w:rPr>
        <w:t xml:space="preserve">5G &amp; Edge Computing Attacks: </w:t>
      </w:r>
      <w:r>
        <w:rPr>
          <w:rFonts w:ascii="Calibri" w:cs="Calibri" w:eastAsia="Calibri" w:hAnsi="Calibri"/>
          <w:color w:val="222222"/>
          <w:sz w:val="22"/>
          <w:szCs w:val="22"/>
        </w:rPr>
        <w:t xml:space="preserve">5G network slicing vulnerabilities and the explosion of edge computing devices create massive new attack surfaces with limited security oversight, especially in industrial and smart city deployments.</w:t>
      </w:r>
    </w:p>
    <w:p>
      <w:pPr>
        <w:pStyle w:val="ListParagraph"/>
        <w:numPr>
          <w:ilvl w:val="0"/>
          <w:numId w:val="2"/>
        </w:numPr>
        <w:spacing w:after="60" w:before="40"/>
      </w:pPr>
      <w:r>
        <w:rPr>
          <w:rFonts w:ascii="Calibri" w:cs="Calibri" w:eastAsia="Calibri" w:hAnsi="Calibri"/>
          <w:b/>
          <w:bCs/>
          <w:color w:val="C0392B"/>
          <w:sz w:val="22"/>
          <w:szCs w:val="22"/>
        </w:rPr>
        <w:t xml:space="preserve">Software Supply Chain Attacks: </w:t>
      </w:r>
      <w:r>
        <w:rPr>
          <w:rFonts w:ascii="Calibri" w:cs="Calibri" w:eastAsia="Calibri" w:hAnsi="Calibri"/>
          <w:color w:val="222222"/>
          <w:sz w:val="22"/>
          <w:szCs w:val="22"/>
        </w:rPr>
        <w:t xml:space="preserve">Targeting software vendors and open-source libraries to compromise all downstream users simultaneously (SolarWinds 2020, XZ Utils backdoor 2024, MOVEit 2023). Became the dominant nation-state attack vector.</w:t>
      </w:r>
    </w:p>
    <w:p>
      <w:pPr>
        <w:pStyle w:val="Heading2"/>
        <w:spacing w:after="100" w:before="280"/>
      </w:pPr>
      <w:r>
        <w:rPr>
          <w:rFonts w:ascii="Calibri" w:cs="Calibri" w:eastAsia="Calibri" w:hAnsi="Calibri"/>
          <w:b/>
          <w:bCs/>
          <w:color w:val="1A56B0"/>
          <w:sz w:val="28"/>
          <w:szCs w:val="28"/>
        </w:rPr>
        <w:t xml:space="preserve">6.3 The Path Forward: Continuous Learning</w:t>
      </w:r>
    </w:p>
    <w:p>
      <w:pPr>
        <w:spacing w:after="120" w:before="60"/>
        <w:jc w:val="both"/>
      </w:pPr>
      <w:r>
        <w:rPr>
          <w:rFonts w:ascii="Calibri" w:cs="Calibri" w:eastAsia="Calibri" w:hAnsi="Calibri"/>
          <w:b w:val="false"/>
          <w:bCs w:val="false"/>
          <w:i w:val="false"/>
          <w:iCs w:val="false"/>
          <w:color w:val="222222"/>
          <w:sz w:val="22"/>
          <w:szCs w:val="22"/>
        </w:rPr>
        <w:t xml:space="preserve">Cybersecurity is not a product you purchase or a project you complete — it is an ongoing discipline requiring continuous learning, adaptation, and community engagement. The threat landscape evolves daily; yesterday's best practices may be tomorrow's vulnerability.</w:t>
      </w:r>
    </w:p>
    <w:p>
      <w:pPr>
        <w:spacing w:after="120" w:before="60"/>
        <w:jc w:val="both"/>
      </w:pPr>
      <w:r>
        <w:rPr>
          <w:rFonts w:ascii="Calibri" w:cs="Calibri" w:eastAsia="Calibri" w:hAnsi="Calibri"/>
          <w:b w:val="false"/>
          <w:bCs w:val="false"/>
          <w:i w:val="false"/>
          <w:iCs w:val="false"/>
          <w:color w:val="222222"/>
          <w:sz w:val="22"/>
          <w:szCs w:val="22"/>
        </w:rPr>
        <w:t xml:space="preserve">Professionals entering this field must commit to lifelong learning through certifications (CompTIA Security+, CEH, OSCP, CISSP), hands-on practice (TryHackMe, HackTheBox, CTF competitions), following authoritative sources (CISA, OWASP, KrebsOnSecurity), and engaging with the global security community through conferences (DEF CON, Black Hat, c0c0n).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B" w:val="clear"/>
            <w:tcMar>
              <w:top w:type="dxa" w:w="120"/>
              <w:left w:type="dxa" w:w="200"/>
              <w:bottom w:type="dxa" w:w="120"/>
              <w:right w:type="dxa" w:w="200"/>
            </w:tcMar>
          </w:tcPr>
          <w:p>
            <w:pPr>
              <w:spacing w:after="60" w:before="0"/>
            </w:pPr>
            <w:r>
              <w:rPr>
                <w:rFonts w:ascii="Calibri" w:cs="Calibri" w:eastAsia="Calibri" w:hAnsi="Calibri"/>
                <w:b/>
                <w:bCs/>
                <w:color w:val="0D2B6E"/>
                <w:sz w:val="22"/>
                <w:szCs w:val="22"/>
              </w:rPr>
              <w:t xml:space="preserve">💡 Final Thought</w:t>
            </w:r>
          </w:p>
          <w:p>
            <w:pPr>
              <w:spacing w:after="0" w:before="0"/>
              <w:jc w:val="both"/>
            </w:pPr>
            <w:r>
              <w:rPr>
                <w:rFonts w:ascii="Calibri" w:cs="Calibri" w:eastAsia="Calibri" w:hAnsi="Calibri"/>
                <w:color w:val="333333"/>
                <w:sz w:val="21"/>
                <w:szCs w:val="21"/>
              </w:rPr>
              <w:t xml:space="preserve">The cost of prevention is always less than the cost of a breach. The average data breach costs $4.88 million in 2024. A comprehensive cybersecurity program costs a fraction of that. Organizations and individuals who invest in security today are protecting not just their data — but their reputation, their finances, their operations, and in the case of healthcare and critical infrastructure, human lives themselves.</w:t>
            </w:r>
          </w:p>
        </w:tc>
      </w:tr>
    </w:tbl>
    <w:p>
      <w:r>
        <w:br/>
      </w:r>
    </w:p>
    <w:p>
      <w:pPr>
        <w:pStyle w:val="Heading1"/>
        <w:pBdr>
          <w:bottom w:val="single" w:color="1A56B0" w:sz="10" w:space="6"/>
        </w:pBdr>
        <w:spacing w:after="160" w:before="400"/>
      </w:pPr>
      <w:r>
        <w:rPr>
          <w:rFonts w:ascii="Calibri" w:cs="Calibri" w:eastAsia="Calibri" w:hAnsi="Calibri"/>
          <w:b/>
          <w:bCs/>
          <w:caps/>
          <w:color w:val="0D2B6E"/>
          <w:sz w:val="34"/>
          <w:szCs w:val="34"/>
        </w:rPr>
        <w:t xml:space="preserve">7. References</w:t>
      </w:r>
    </w:p>
    <w:p>
      <w:pPr>
        <w:spacing w:after="120" w:before="60"/>
        <w:jc w:val="both"/>
      </w:pPr>
      <w:r>
        <w:rPr>
          <w:rFonts w:ascii="Calibri" w:cs="Calibri" w:eastAsia="Calibri" w:hAnsi="Calibri"/>
          <w:b w:val="false"/>
          <w:bCs w:val="false"/>
          <w:i w:val="false"/>
          <w:iCs w:val="false"/>
          <w:color w:val="222222"/>
          <w:sz w:val="22"/>
          <w:szCs w:val="22"/>
        </w:rPr>
        <w:t xml:space="preserve">The following authoritative sources formed the research foundation of this report:</w:t>
      </w:r>
    </w:p>
    <w:p>
      <w:pPr>
        <w:spacing w:after="0" w:before="0"/>
      </w:pPr>
      <w:r>
        <w:t xml:space="preserve"/>
      </w:r>
    </w:p>
    <w:p>
      <w:pPr>
        <w:spacing w:after="60" w:before="80"/>
      </w:pPr>
      <w:r>
        <w:rPr>
          <w:rFonts w:ascii="Calibri" w:cs="Calibri" w:eastAsia="Calibri" w:hAnsi="Calibri"/>
          <w:b/>
          <w:bCs/>
          <w:color w:val="0D2B6E"/>
          <w:sz w:val="22"/>
          <w:szCs w:val="22"/>
        </w:rPr>
        <w:t xml:space="preserve">Government &amp; Regulatory Sources</w:t>
      </w:r>
    </w:p>
    <w:p>
      <w:pPr>
        <w:pStyle w:val="ListParagraph"/>
        <w:numPr>
          <w:ilvl w:val="0"/>
          <w:numId w:val="2"/>
        </w:numPr>
        <w:spacing w:after="60" w:before="40"/>
      </w:pPr>
      <w:r>
        <w:rPr>
          <w:rFonts w:ascii="Calibri" w:cs="Calibri" w:eastAsia="Calibri" w:hAnsi="Calibri"/>
          <w:color w:val="222222"/>
          <w:sz w:val="22"/>
          <w:szCs w:val="22"/>
        </w:rPr>
        <w:t xml:space="preserve">CISA (Cybersecurity &amp; Infrastructure Security Agency) — https://www.cisa.gov/known-exploited-vulnerabilities-catalog</w:t>
      </w:r>
    </w:p>
    <w:p>
      <w:pPr>
        <w:pStyle w:val="ListParagraph"/>
        <w:numPr>
          <w:ilvl w:val="0"/>
          <w:numId w:val="2"/>
        </w:numPr>
        <w:spacing w:after="60" w:before="40"/>
      </w:pPr>
      <w:r>
        <w:rPr>
          <w:rFonts w:ascii="Calibri" w:cs="Calibri" w:eastAsia="Calibri" w:hAnsi="Calibri"/>
          <w:color w:val="222222"/>
          <w:sz w:val="22"/>
          <w:szCs w:val="22"/>
        </w:rPr>
        <w:t xml:space="preserve">FBI Internet Crime Complaint Center (IC3) 2023 Annual Report — https://www.ic3.gov/Media/PDF/AnnualReport/2023_IC3Report.pdf</w:t>
      </w:r>
    </w:p>
    <w:p>
      <w:pPr>
        <w:pStyle w:val="ListParagraph"/>
        <w:numPr>
          <w:ilvl w:val="0"/>
          <w:numId w:val="2"/>
        </w:numPr>
        <w:spacing w:after="60" w:before="40"/>
      </w:pPr>
      <w:r>
        <w:rPr>
          <w:rFonts w:ascii="Calibri" w:cs="Calibri" w:eastAsia="Calibri" w:hAnsi="Calibri"/>
          <w:color w:val="222222"/>
          <w:sz w:val="22"/>
          <w:szCs w:val="22"/>
        </w:rPr>
        <w:t xml:space="preserve">NIST Cybersecurity Framework 2.0 (2024) — https://www.nist.gov/cyberframework</w:t>
      </w:r>
    </w:p>
    <w:p>
      <w:pPr>
        <w:pStyle w:val="ListParagraph"/>
        <w:numPr>
          <w:ilvl w:val="0"/>
          <w:numId w:val="2"/>
        </w:numPr>
        <w:spacing w:after="60" w:before="40"/>
      </w:pPr>
      <w:r>
        <w:rPr>
          <w:rFonts w:ascii="Calibri" w:cs="Calibri" w:eastAsia="Calibri" w:hAnsi="Calibri"/>
          <w:color w:val="222222"/>
          <w:sz w:val="22"/>
          <w:szCs w:val="22"/>
        </w:rPr>
        <w:t xml:space="preserve">NIST Post-Quantum Cryptography Standards (2024) — https://csrc.nist.gov/projects/post-quantum-cryptography</w:t>
      </w:r>
    </w:p>
    <w:p>
      <w:pPr>
        <w:spacing w:after="60" w:before="80"/>
      </w:pPr>
      <w:r>
        <w:rPr>
          <w:rFonts w:ascii="Calibri" w:cs="Calibri" w:eastAsia="Calibri" w:hAnsi="Calibri"/>
          <w:b/>
          <w:bCs/>
          <w:color w:val="0D2B6E"/>
          <w:sz w:val="22"/>
          <w:szCs w:val="22"/>
        </w:rPr>
        <w:t xml:space="preserve">Industry Research Reports</w:t>
      </w:r>
    </w:p>
    <w:p>
      <w:pPr>
        <w:pStyle w:val="ListParagraph"/>
        <w:numPr>
          <w:ilvl w:val="0"/>
          <w:numId w:val="2"/>
        </w:numPr>
        <w:spacing w:after="60" w:before="40"/>
      </w:pPr>
      <w:r>
        <w:rPr>
          <w:rFonts w:ascii="Calibri" w:cs="Calibri" w:eastAsia="Calibri" w:hAnsi="Calibri"/>
          <w:color w:val="222222"/>
          <w:sz w:val="22"/>
          <w:szCs w:val="22"/>
        </w:rPr>
        <w:t xml:space="preserve">IBM Cost of a Data Breach Report 2024 — https://www.ibm.com/reports/data-breach</w:t>
      </w:r>
    </w:p>
    <w:p>
      <w:pPr>
        <w:pStyle w:val="ListParagraph"/>
        <w:numPr>
          <w:ilvl w:val="0"/>
          <w:numId w:val="2"/>
        </w:numPr>
        <w:spacing w:after="60" w:before="40"/>
      </w:pPr>
      <w:r>
        <w:rPr>
          <w:rFonts w:ascii="Calibri" w:cs="Calibri" w:eastAsia="Calibri" w:hAnsi="Calibri"/>
          <w:color w:val="222222"/>
          <w:sz w:val="22"/>
          <w:szCs w:val="22"/>
        </w:rPr>
        <w:t xml:space="preserve">Verizon Data Breach Investigations Report (DBIR) 2024 — https://www.verizon.com/business/resources/reports/dbir/</w:t>
      </w:r>
    </w:p>
    <w:p>
      <w:pPr>
        <w:pStyle w:val="ListParagraph"/>
        <w:numPr>
          <w:ilvl w:val="0"/>
          <w:numId w:val="2"/>
        </w:numPr>
        <w:spacing w:after="60" w:before="40"/>
      </w:pPr>
      <w:r>
        <w:rPr>
          <w:rFonts w:ascii="Calibri" w:cs="Calibri" w:eastAsia="Calibri" w:hAnsi="Calibri"/>
          <w:color w:val="222222"/>
          <w:sz w:val="22"/>
          <w:szCs w:val="22"/>
        </w:rPr>
        <w:t xml:space="preserve">Cybersecurity Ventures — Cybercrime Report 2025 — https://cybersecurityventures.com/cybercrime-damage-costs-10-trillion-by-2025/</w:t>
      </w:r>
    </w:p>
    <w:p>
      <w:pPr>
        <w:pStyle w:val="ListParagraph"/>
        <w:numPr>
          <w:ilvl w:val="0"/>
          <w:numId w:val="2"/>
        </w:numPr>
        <w:spacing w:after="60" w:before="40"/>
      </w:pPr>
      <w:r>
        <w:rPr>
          <w:rFonts w:ascii="Calibri" w:cs="Calibri" w:eastAsia="Calibri" w:hAnsi="Calibri"/>
          <w:color w:val="222222"/>
          <w:sz w:val="22"/>
          <w:szCs w:val="22"/>
        </w:rPr>
        <w:t xml:space="preserve">ENISA Threat Landscape 2024 — https://www.enisa.europa.eu/publications/enisa-threat-landscape-2024</w:t>
      </w:r>
    </w:p>
    <w:p>
      <w:pPr>
        <w:pStyle w:val="ListParagraph"/>
        <w:numPr>
          <w:ilvl w:val="0"/>
          <w:numId w:val="2"/>
        </w:numPr>
        <w:spacing w:after="60" w:before="40"/>
      </w:pPr>
      <w:r>
        <w:rPr>
          <w:rFonts w:ascii="Calibri" w:cs="Calibri" w:eastAsia="Calibri" w:hAnsi="Calibri"/>
          <w:color w:val="222222"/>
          <w:sz w:val="22"/>
          <w:szCs w:val="22"/>
        </w:rPr>
        <w:t xml:space="preserve">Palo Alto Networks Unit 42 Threat Report 2024 — https://unit42.paloaltonetworks.com/unit-42-ransomware-threat-report/</w:t>
      </w:r>
    </w:p>
    <w:p>
      <w:pPr>
        <w:spacing w:after="60" w:before="80"/>
      </w:pPr>
      <w:r>
        <w:rPr>
          <w:rFonts w:ascii="Calibri" w:cs="Calibri" w:eastAsia="Calibri" w:hAnsi="Calibri"/>
          <w:b/>
          <w:bCs/>
          <w:color w:val="0D2B6E"/>
          <w:sz w:val="22"/>
          <w:szCs w:val="22"/>
        </w:rPr>
        <w:t xml:space="preserve">Security Research &amp; News</w:t>
      </w:r>
    </w:p>
    <w:p>
      <w:pPr>
        <w:pStyle w:val="ListParagraph"/>
        <w:numPr>
          <w:ilvl w:val="0"/>
          <w:numId w:val="2"/>
        </w:numPr>
        <w:spacing w:after="60" w:before="40"/>
      </w:pPr>
      <w:r>
        <w:rPr>
          <w:rFonts w:ascii="Calibri" w:cs="Calibri" w:eastAsia="Calibri" w:hAnsi="Calibri"/>
          <w:color w:val="222222"/>
          <w:sz w:val="22"/>
          <w:szCs w:val="22"/>
        </w:rPr>
        <w:t xml:space="preserve">OWASP Top 10 Web Application Security Risks — https://owasp.org/www-project-top-ten/</w:t>
      </w:r>
    </w:p>
    <w:p>
      <w:pPr>
        <w:pStyle w:val="ListParagraph"/>
        <w:numPr>
          <w:ilvl w:val="0"/>
          <w:numId w:val="2"/>
        </w:numPr>
        <w:spacing w:after="60" w:before="40"/>
      </w:pPr>
      <w:r>
        <w:rPr>
          <w:rFonts w:ascii="Calibri" w:cs="Calibri" w:eastAsia="Calibri" w:hAnsi="Calibri"/>
          <w:color w:val="222222"/>
          <w:sz w:val="22"/>
          <w:szCs w:val="22"/>
        </w:rPr>
        <w:t xml:space="preserve">KrebsOnSecurity — https://krebsonsecurity.com</w:t>
      </w:r>
    </w:p>
    <w:p>
      <w:pPr>
        <w:pStyle w:val="ListParagraph"/>
        <w:numPr>
          <w:ilvl w:val="0"/>
          <w:numId w:val="2"/>
        </w:numPr>
        <w:spacing w:after="60" w:before="40"/>
      </w:pPr>
      <w:r>
        <w:rPr>
          <w:rFonts w:ascii="Calibri" w:cs="Calibri" w:eastAsia="Calibri" w:hAnsi="Calibri"/>
          <w:color w:val="222222"/>
          <w:sz w:val="22"/>
          <w:szCs w:val="22"/>
        </w:rPr>
        <w:t xml:space="preserve">IBM Security Intelligence Blog — https://securityintelligence.com</w:t>
      </w:r>
    </w:p>
    <w:p>
      <w:pPr>
        <w:pStyle w:val="ListParagraph"/>
        <w:numPr>
          <w:ilvl w:val="0"/>
          <w:numId w:val="2"/>
        </w:numPr>
        <w:spacing w:after="60" w:before="40"/>
      </w:pPr>
      <w:r>
        <w:rPr>
          <w:rFonts w:ascii="Calibri" w:cs="Calibri" w:eastAsia="Calibri" w:hAnsi="Calibri"/>
          <w:color w:val="222222"/>
          <w:sz w:val="22"/>
          <w:szCs w:val="22"/>
        </w:rPr>
        <w:t xml:space="preserve">The Hacker News — https://thehackernews.com</w:t>
      </w:r>
    </w:p>
    <w:p>
      <w:pPr>
        <w:pStyle w:val="ListParagraph"/>
        <w:numPr>
          <w:ilvl w:val="0"/>
          <w:numId w:val="2"/>
        </w:numPr>
        <w:spacing w:after="60" w:before="40"/>
      </w:pPr>
      <w:r>
        <w:rPr>
          <w:rFonts w:ascii="Calibri" w:cs="Calibri" w:eastAsia="Calibri" w:hAnsi="Calibri"/>
          <w:color w:val="222222"/>
          <w:sz w:val="22"/>
          <w:szCs w:val="22"/>
        </w:rPr>
        <w:t xml:space="preserve">Bleeping Computer — https://www.bleepingcomputer.com</w:t>
      </w:r>
    </w:p>
    <w:p>
      <w:pPr>
        <w:spacing w:after="60" w:before="80"/>
      </w:pPr>
      <w:r>
        <w:rPr>
          <w:rFonts w:ascii="Calibri" w:cs="Calibri" w:eastAsia="Calibri" w:hAnsi="Calibri"/>
          <w:b/>
          <w:bCs/>
          <w:color w:val="0D2B6E"/>
          <w:sz w:val="22"/>
          <w:szCs w:val="22"/>
        </w:rPr>
        <w:t xml:space="preserve">Specific Incident References</w:t>
      </w:r>
    </w:p>
    <w:p>
      <w:pPr>
        <w:pStyle w:val="ListParagraph"/>
        <w:numPr>
          <w:ilvl w:val="0"/>
          <w:numId w:val="2"/>
        </w:numPr>
        <w:spacing w:after="60" w:before="40"/>
      </w:pPr>
      <w:r>
        <w:rPr>
          <w:rFonts w:ascii="Calibri" w:cs="Calibri" w:eastAsia="Calibri" w:hAnsi="Calibri"/>
          <w:color w:val="222222"/>
          <w:sz w:val="22"/>
          <w:szCs w:val="22"/>
        </w:rPr>
        <w:t xml:space="preserve">Change Healthcare Attack Analysis — US HHS Office of Civil Rights Advisory (2024)</w:t>
      </w:r>
    </w:p>
    <w:p>
      <w:pPr>
        <w:pStyle w:val="ListParagraph"/>
        <w:numPr>
          <w:ilvl w:val="0"/>
          <w:numId w:val="2"/>
        </w:numPr>
        <w:spacing w:after="60" w:before="40"/>
      </w:pPr>
      <w:r>
        <w:rPr>
          <w:rFonts w:ascii="Calibri" w:cs="Calibri" w:eastAsia="Calibri" w:hAnsi="Calibri"/>
          <w:color w:val="222222"/>
          <w:sz w:val="22"/>
          <w:szCs w:val="22"/>
        </w:rPr>
        <w:t xml:space="preserve">MOVEit Zero-Day Economic Impact — Emsisoft Threat Research: https://www.emsisoft.com/en/blog/44123/the-cost-of-ransomware-in-2023/</w:t>
      </w:r>
    </w:p>
    <w:p>
      <w:pPr>
        <w:pStyle w:val="ListParagraph"/>
        <w:numPr>
          <w:ilvl w:val="0"/>
          <w:numId w:val="2"/>
        </w:numPr>
        <w:spacing w:after="60" w:before="40"/>
      </w:pPr>
      <w:r>
        <w:rPr>
          <w:rFonts w:ascii="Calibri" w:cs="Calibri" w:eastAsia="Calibri" w:hAnsi="Calibri"/>
          <w:color w:val="222222"/>
          <w:sz w:val="22"/>
          <w:szCs w:val="22"/>
        </w:rPr>
        <w:t xml:space="preserve">MGM Resorts Breach — CISA Advisory AA23-320A &amp; SEC 8-K Filing (2023)</w:t>
      </w:r>
    </w:p>
    <w:p>
      <w:pPr>
        <w:pStyle w:val="ListParagraph"/>
        <w:numPr>
          <w:ilvl w:val="0"/>
          <w:numId w:val="2"/>
        </w:numPr>
        <w:spacing w:after="60" w:before="40"/>
      </w:pPr>
      <w:r>
        <w:rPr>
          <w:rFonts w:ascii="Calibri" w:cs="Calibri" w:eastAsia="Calibri" w:hAnsi="Calibri"/>
          <w:color w:val="222222"/>
          <w:sz w:val="22"/>
          <w:szCs w:val="22"/>
        </w:rPr>
        <w:t xml:space="preserve">Capital One Breach — US DOJ Court Documents &amp; OCC Enforcement Action (2019–2020)</w:t>
      </w:r>
    </w:p>
    <w:p>
      <w:pPr>
        <w:pStyle w:val="ListParagraph"/>
        <w:numPr>
          <w:ilvl w:val="0"/>
          <w:numId w:val="2"/>
        </w:numPr>
        <w:spacing w:after="60" w:before="40"/>
      </w:pPr>
      <w:r>
        <w:rPr>
          <w:rFonts w:ascii="Calibri" w:cs="Calibri" w:eastAsia="Calibri" w:hAnsi="Calibri"/>
          <w:color w:val="222222"/>
          <w:sz w:val="22"/>
          <w:szCs w:val="22"/>
        </w:rPr>
        <w:t xml:space="preserve">Mirai Botnet Technical Analysis — Cloudflare &amp; Dyn Post-Incident Reports (2016)</w:t>
      </w:r>
    </w:p>
    <w:p>
      <w:pPr>
        <w:pStyle w:val="ListParagraph"/>
        <w:numPr>
          <w:ilvl w:val="0"/>
          <w:numId w:val="2"/>
        </w:numPr>
        <w:spacing w:after="60" w:before="40"/>
      </w:pPr>
      <w:r>
        <w:rPr>
          <w:rFonts w:ascii="Calibri" w:cs="Calibri" w:eastAsia="Calibri" w:hAnsi="Calibri"/>
          <w:color w:val="222222"/>
          <w:sz w:val="22"/>
          <w:szCs w:val="22"/>
        </w:rPr>
        <w:t xml:space="preserve">Deepfake CFO Fraud (Hong Kong 2024) — South China Morning Post &amp; Arup Official Statement</w:t>
      </w:r>
    </w:p>
    <w:p>
      <w:pPr>
        <w:spacing w:after="0" w:before="0"/>
      </w:pPr>
      <w:r>
        <w:t xml:space="preserve"/>
      </w:r>
    </w:p>
    <w:p>
      <w:pPr>
        <w:spacing w:after="0" w:before="0"/>
      </w:pPr>
      <w:r>
        <w:t xml:space="preserve"/>
      </w:r>
    </w:p>
    <w:p>
      <w:pPr>
        <w:pBdr>
          <w:top w:val="single" w:color="1A56B0" w:sz="8" w:space="6"/>
        </w:pBdr>
        <w:spacing w:after="0" w:before="280"/>
        <w:jc w:val="center"/>
      </w:pPr>
      <w:r>
        <w:rPr>
          <w:rFonts w:ascii="Calibri" w:cs="Calibri" w:eastAsia="Calibri" w:hAnsi="Calibri"/>
          <w:i/>
          <w:iCs/>
          <w:color w:val="555555"/>
          <w:sz w:val="20"/>
          <w:szCs w:val="20"/>
        </w:rPr>
        <w:t xml:space="preserve">— End of Report —</w:t>
      </w:r>
      <w:r>
        <w:rPr>
          <w:rFonts w:ascii="Calibri" w:cs="Calibri" w:eastAsia="Calibri" w:hAnsi="Calibri"/>
          <w:color w:val="555555"/>
          <w:sz w:val="18"/>
          <w:szCs w:val="18"/>
        </w:rPr>
        <w:t xml:space="preserve">     Nukathoti Akash  |  MT6177  |  Maincrafts Technology  |  Cyber Security &amp; Ethical Hacking Internship  |  Task 1</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B0" w:sz="8" w:space="4"/>
      </w:pBdr>
      <w:tabs>
        <w:tab w:val="right" w:pos="9026"/>
      </w:tabs>
      <w:spacing w:after="0" w:before="80"/>
    </w:pPr>
    <w:r>
      <w:rPr>
        <w:rFonts w:ascii="Calibri" w:cs="Calibri" w:eastAsia="Calibri" w:hAnsi="Calibri"/>
        <w:color w:val="555555"/>
        <w:sz w:val="17"/>
        <w:szCs w:val="17"/>
      </w:rPr>
      <w:t xml:space="preserve">Maincrafts Technology  |  Cyber Security &amp; Ethical Hacking Internship  |  Confidential</w:t>
    </w:r>
    <w:r>
      <w:rPr>
        <w:rFonts w:ascii="Calibri" w:cs="Calibri" w:eastAsia="Calibri" w:hAnsi="Calibri"/>
        <w:color w:val="555555"/>
        <w:sz w:val="17"/>
        <w:szCs w:val="17"/>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B0" w:sz="8" w:space="4"/>
      </w:pBdr>
      <w:tabs>
        <w:tab w:val="right" w:pos="9026"/>
      </w:tabs>
      <w:spacing w:after="80" w:before="0"/>
    </w:pPr>
    <w:r>
      <w:rPr>
        <w:rFonts w:ascii="Calibri" w:cs="Calibri" w:eastAsia="Calibri" w:hAnsi="Calibri"/>
        <w:b/>
        <w:bCs/>
        <w:color w:val="0D2B6E"/>
        <w:sz w:val="18"/>
        <w:szCs w:val="18"/>
      </w:rPr>
      <w:t xml:space="preserve">Cybersecurity Threat Intelligence Report 2024–2025</w:t>
    </w:r>
    <w:r>
      <w:rPr>
        <w:rFonts w:ascii="Calibri" w:cs="Calibri" w:eastAsia="Calibri" w:hAnsi="Calibri"/>
        <w:color w:val="555555"/>
        <w:sz w:val="18"/>
        <w:szCs w:val="18"/>
      </w:rPr>
      <w:t xml:space="preserve">	Nukathoti Akash  |  MT6177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D2B6E"/>
      <w:sz w:val="34"/>
      <w:szCs w:val="34"/>
    </w:rPr>
  </w:style>
  <w:style w:type="paragraph" w:styleId="Heading2">
    <w:name w:val="Heading 2"/>
    <w:basedOn w:val="Normal"/>
    <w:next w:val="Normal"/>
    <w:qFormat/>
    <w:pPr>
      <w:spacing w:after="100" w:before="280"/>
      <w:outlineLvl w:val="1"/>
    </w:pPr>
    <w:rPr>
      <w:rFonts w:ascii="Calibri" w:cs="Calibri" w:eastAsia="Calibri" w:hAnsi="Calibri"/>
      <w:b/>
      <w:bCs/>
      <w:color w:val="1A56B0"/>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D354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2026-06-11T07:35:05.642Z</dcterms:created>
  <dcterms:modified xsi:type="dcterms:W3CDTF">2026-06-11T07:35:05.643Z</dcterms:modified>
</cp:coreProperties>
</file>

<file path=docProps/custom.xml><?xml version="1.0" encoding="utf-8"?>
<Properties xmlns="http://schemas.openxmlformats.org/officeDocument/2006/custom-properties" xmlns:vt="http://schemas.openxmlformats.org/officeDocument/2006/docPropsVTypes"/>
</file>