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0"/>
          <w:szCs w:val="20"/>
        </w:rPr>
        <w:t xml:space="preserve">Solution &amp; Results Report</w:t>
      </w:r>
    </w:p>
    <w:p>
      <w:pPr>
        <w:spacing w:after="260"/>
        <w:jc w:val="center"/>
      </w:pPr>
      <w:r>
        <w:rPr>
          <w:b/>
          <w:bCs/>
          <w:color w:val="1F4E79"/>
          <w:sz w:val="34"/>
          <w:szCs w:val="34"/>
        </w:rPr>
        <w:t xml:space="preserve">Financial Fraud Detection &amp; Risk Analysis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140"/>
      </w:pPr>
      <w:r>
        <w:rPr>
          <w:sz w:val="21"/>
          <w:szCs w:val="21"/>
        </w:rPr>
        <w:t xml:space="preserve">This report documents the complete, executed solution for the Financial Fraud Detection &amp; Risk Analysis project, following every step defined in the Project Requirements Document. The pipeline ingests 3,000 raw transaction records, cleans and quarantines invalid rows, engineers 8 fraud-indicative features, corrects class imbalance with SMOTE, trains and tunes a Random Forest classifier, and produces a scored, star-schema-ready dataset for the Power BI dashboard.</w:t>
      </w:r>
    </w:p>
    <w:p>
      <w:pPr>
        <w:spacing w:after="140"/>
      </w:pPr>
      <w:r>
        <w:rPr>
          <w:sz w:val="21"/>
          <w:szCs w:val="21"/>
        </w:rPr>
        <w:t xml:space="preserve">Headline result: on a held-out, untouched test set the tuned model catches 85.7% of fraudulent transactions (recall) while keeping precision at 94.7% — meaning the vast majority of transactions it flags for review are genuinely fraudulent, and the operational review team is not swamped with false alarms.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4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4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ingested</w:t>
            </w:r>
          </w:p>
        </w:tc>
        <w:tc>
          <w:tcPr>
            <w:tcW w:type="dxa" w:w="51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quarantined (bad data)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 (4 invalid amounts, 6 duplicates)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rows used for modelling</w:t>
            </w:r>
          </w:p>
        </w:tc>
        <w:tc>
          <w:tcPr>
            <w:tcW w:type="dxa" w:w="51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2,990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Fraud prevalence (true rate)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3.51%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Test-set recall (fraud caught) @ tuned threshold</w:t>
            </w:r>
          </w:p>
        </w:tc>
        <w:tc>
          <w:tcPr>
            <w:tcW w:type="dxa" w:w="51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85.7%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Test-set precision @ tuned threshold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94.7%</w:t>
            </w:r>
          </w:p>
        </w:tc>
      </w:tr>
      <w:tr>
        <w:tc>
          <w:tcPr>
            <w:tcW w:type="dxa" w:w="4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514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0.999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PR-AUC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0.970</w:t>
            </w:r>
          </w:p>
        </w:tc>
      </w:tr>
    </w:tbl>
    <w:p>
      <w:pPr>
        <w:pBdr>
          <w:bottom w:val="single" w:color="AAAAAA" w:sz="6" w:space="1"/>
        </w:pBdr>
        <w:spacing w:after="220" w:before="12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Phase 1 Results — Data Engineering &amp; Feature Engineering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Data Quality</w:t>
      </w:r>
    </w:p>
    <w:p>
      <w:pPr>
        <w:spacing w:after="140"/>
      </w:pPr>
      <w:r>
        <w:rPr>
          <w:sz w:val="21"/>
          <w:szCs w:val="21"/>
        </w:rPr>
        <w:t xml:space="preserve">Of the 3,000 raw rows, 10 (0.33%) were quarantined: 4 had non-positive Transaction_Amount values and 6 were exact duplicate transactions. These are preserved in quarantined_fraud_data.csv for audit rather than silently discarded. A small number of missing Distance_From_Home_KM values were imputed using the median for that transaction's Merchant_Category.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Engineered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Age_Group, Transaction_Hour, Is_Weekend, Is_High_Risk_Hour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Balance_Depletion_Ratio, Amount_to_Balance_Ratio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Transaction_Risk_Score (0–100 composite penalty 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Merchant_Volatility_Index (Coefficient of Variation of spend per merchant category)</w:t>
      </w:r>
    </w:p>
    <w:p>
      <w:pPr>
        <w:spacing w:after="140"/>
      </w:pPr>
      <w:r>
        <w:rPr>
          <w:sz w:val="21"/>
          <w:szCs w:val="21"/>
        </w:rPr>
        <w:t xml:space="preserve">Travel and Home Improvement showed the highest spend volatility (CV of 483% and 203% respectively), while Utilities and Healthcare were the most predictable categories — consistent with real-world spending patterns.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Class Imbalance Correction</w:t>
      </w:r>
    </w:p>
    <w:p>
      <w:pPr>
        <w:spacing w:after="140"/>
      </w:pPr>
      <w:r>
        <w:rPr>
          <w:sz w:val="21"/>
          <w:szCs w:val="21"/>
        </w:rPr>
        <w:t xml:space="preserve">An 80/20 stratified train/test split was performed first (train: 2,392 rows at 3.47% fraud; test: 598 rows at 3.51% fraud), and SMOTE was fit on the training partition only, raising the training fraud proportion to 28.6% (923 of 3,232 rows) without touching the test set. This keeps the evaluation numbers in the next section honest — the model was never evaluated on synthetic data.</w:t>
      </w:r>
    </w:p>
    <w:p>
      <w:pPr>
        <w:pBdr>
          <w:bottom w:val="single" w:color="AAAAAA" w:sz="6" w:space="1"/>
        </w:pBdr>
        <w:spacing w:after="220" w:before="12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Phase 2 Results — Model Development &amp; Evaluation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Baseline Comparison</w:t>
      </w:r>
    </w:p>
    <w:p>
      <w:pPr>
        <w:spacing w:after="140"/>
      </w:pPr>
      <w:r>
        <w:rPr>
          <w:sz w:val="21"/>
          <w:szCs w:val="21"/>
        </w:rPr>
        <w:t xml:space="preserve">A class-weighted Logistic Regression baseline achieved 90.5% recall but only 86.4% precision. The tuned Random Forest was selected to improve precision substantially while keeping recall close to the business target, reducing the false-alarm burden on the fraud review team.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Hyperparameter Tuning</w:t>
      </w:r>
    </w:p>
    <w:p>
      <w:pPr>
        <w:spacing w:after="140"/>
      </w:pPr>
      <w:r>
        <w:rPr>
          <w:sz w:val="21"/>
          <w:szCs w:val="21"/>
        </w:rPr>
        <w:t xml:space="preserve">RandomizedSearchCV with 5-fold stratified cross-validation (20 candidate configurations, scored on fraud-class recall) selected: n_estimators=300, max_depth=16, min_samples_leaf=2, max_features='log2', class_weight='balanced'.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Test-Set Evaluation</w:t>
      </w:r>
    </w:p>
    <w:p>
      <w:pPr>
        <w:spacing w:after="140"/>
      </w:pPr>
      <w:r>
        <w:rPr>
          <w:sz w:val="21"/>
          <w:szCs w:val="21"/>
        </w:rPr>
        <w:t xml:space="preserve">At the default 0.5 probability cutoff the model is extremely conservative — 100% precision but only 76.2% recall (it misses roughly 1 in 4 fraud cases). Since a missed fraud is materially more costly than a false alarm, the threshold was tuned down.</w:t>
      </w:r>
    </w:p>
    <w:p>
      <w:pPr>
        <w:spacing w:after="200"/>
        <w:jc w:val="center"/>
      </w:pPr>
      <w:r>
        <w:drawing>
          <wp:inline distT="0" distB="0" distL="0" distR="0">
            <wp:extent cx="30194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Confusion matrix at the default 0.50 threshold — no false positives, but 5 fraud cases missed.</w:t>
      </w:r>
    </w:p>
    <w:p>
      <w:pPr>
        <w:spacing w:after="200"/>
        <w:jc w:val="center"/>
      </w:pPr>
      <w:r>
        <w:drawing>
          <wp:inline distT="0" distB="0" distL="0" distR="0">
            <wp:extent cx="5762625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ROC curve (left) and Precision-Recall curve (right) on the held-out test set. PR-AUC is the primary metric given the low fraud base rate.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Feature Importance</w:t>
      </w:r>
    </w:p>
    <w:p>
      <w:pPr>
        <w:spacing w:after="140"/>
      </w:pPr>
      <w:r>
        <w:rPr>
          <w:sz w:val="21"/>
          <w:szCs w:val="21"/>
        </w:rPr>
        <w:t xml:space="preserve">Distance from the customer's registered home location is by far the strongest predictor, followed by transaction amount and the engineered Transaction_Risk_Score — validating that the hand-crafted risk features carry real signal on top of the raw fields.</w:t>
      </w:r>
    </w:p>
    <w:p>
      <w:pPr>
        <w:spacing w:after="200"/>
        <w:jc w:val="center"/>
      </w:pPr>
      <w:r>
        <w:drawing>
          <wp:inline distT="0" distB="0" distL="0" distR="0">
            <wp:extent cx="4752975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Top 12 features ranked by Random Forest importance.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Decision-Threshold Tuning</w:t>
      </w:r>
    </w:p>
    <w:p>
      <w:pPr>
        <w:spacing w:after="140"/>
      </w:pPr>
      <w:r>
        <w:rPr>
          <w:sz w:val="21"/>
          <w:szCs w:val="21"/>
        </w:rPr>
        <w:t xml:space="preserve">Business requirement: catch at least 85% of fraud. Sweeping the classification threshold down from 0.50 to 0.467 achieves 85.7% recall while precision only drops from 100% to 94.7% — a strong trade-off. At this threshold, only 1 legitimate transaction in 598 is incorrectly flagged.</w:t>
      </w:r>
    </w:p>
    <w:p>
      <w:pPr>
        <w:spacing w:after="200"/>
        <w:jc w:val="center"/>
      </w:pPr>
      <w:r>
        <w:drawing>
          <wp:inline distT="0" distB="0" distL="0" distR="0">
            <wp:extent cx="4752975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Precision and recall as the decision threshold varies; 0.467 is the chosen operating point.</w:t>
      </w:r>
    </w:p>
    <w:tbl>
      <w:tblPr>
        <w:tblW w:type="dxa" w:w="8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70"/>
        <w:gridCol w:w="257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57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57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 (default)</w:t>
            </w:r>
          </w:p>
        </w:tc>
        <w:tc>
          <w:tcPr>
            <w:tcW w:type="dxa" w:w="257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  <w:tc>
          <w:tcPr>
            <w:tcW w:type="dxa" w:w="257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76.2%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0.467 (tuned)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94.7%</w:t>
            </w:r>
          </w:p>
        </w:tc>
        <w:tc>
          <w:tcPr>
            <w:tcW w:type="dxa" w:w="25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85.7%</w:t>
            </w:r>
          </w:p>
        </w:tc>
      </w:tr>
    </w:tbl>
    <w:p>
      <w:pPr>
        <w:pBdr>
          <w:bottom w:val="single" w:color="AAAAAA" w:sz="6" w:space="1"/>
        </w:pBdr>
        <w:spacing w:after="220" w:before="12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Phase 3 — Power BI Dashboard Build Guide</w:t>
      </w:r>
    </w:p>
    <w:p>
      <w:pPr>
        <w:spacing w:after="140"/>
      </w:pPr>
      <w:r>
        <w:rPr>
          <w:sz w:val="21"/>
          <w:szCs w:val="21"/>
        </w:rPr>
        <w:t xml:space="preserve">Power BI Desktop is a Windows application and cannot be run or exported to a .pbix file from this environment. The tables below are fully prepared for import — clean, deduplicated, and modelled as a star schema — so the dashboard itself can be assembled directly in Power BI Desktop by following the steps and DAX measures in this section.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1. Import the Star Schema</w:t>
      </w:r>
    </w:p>
    <w:p>
      <w:pPr>
        <w:spacing w:after="140"/>
      </w:pPr>
      <w:r>
        <w:rPr>
          <w:sz w:val="21"/>
          <w:szCs w:val="21"/>
        </w:rPr>
        <w:t xml:space="preserve">In Power BI Desktop: Get Data → Text/CSV, and import all four files from the PowerBI_Star_Schema folder: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Fact_Transactions.csv — one row per transaction (2,990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Dim_Customer.csv — one row per customer (1,415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Dim_Merchant.csv — one row per merchant category (12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Dim_Date.csv — continuous daily calendar spanning the dataset's date range (730 rows), so time-intelligence functions behave correctly even on days with zero transactions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2. Build the Relationships</w:t>
      </w:r>
    </w:p>
    <w:p>
      <w:pPr>
        <w:spacing w:after="140"/>
      </w:pPr>
      <w:r>
        <w:rPr>
          <w:sz w:val="21"/>
          <w:szCs w:val="21"/>
        </w:rPr>
        <w:t xml:space="preserve">In Model view, create these active 1-to-Many relationships (dimension → fact):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Dim_Date[DateKey]  →  Fact_Transactions[DateKey]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Dim_Customer[Customer_ID]  →  Fact_Transactions[Customer_ID]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Dim_Merchant[Merchant_Category]  →  Fact_Transactions[Merchant_Category]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3. Core DAX Measures</w:t>
      </w:r>
    </w:p>
    <w:p>
      <w:pPr>
        <w:spacing w:after="140"/>
      </w:pPr>
      <w:r>
        <w:rPr>
          <w:sz w:val="21"/>
          <w:szCs w:val="21"/>
        </w:rPr>
        <w:t xml:space="preserve">Create a dedicated measures table (New Table → name it _Measures) and add the following: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Fraud Rate</w:t>
      </w:r>
    </w:p>
    <w:p>
      <w:pPr>
        <w:shd w:fill="F2F2F2" w:color="auto" w:val="clear"/>
        <w:spacing w:after="200" w:before="40"/>
      </w:pPr>
      <w:r>
        <w:rPr>
          <w:rFonts w:ascii="Consolas" w:cs="Consolas" w:eastAsia="Consolas" w:hAnsi="Consolas"/>
          <w:sz w:val="18"/>
          <w:szCs w:val="18"/>
        </w:rPr>
        <w:t xml:space="preserve">Fraud Rate = DIVIDE(SUM(Fact_Transactions[Is_Fraud]), COUNTROWS(Fact_Transactions))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Total Fraud Value</w:t>
      </w:r>
    </w:p>
    <w:p>
      <w:pPr>
        <w:shd w:fill="F2F2F2" w:color="auto" w:val="clear"/>
        <w:spacing w:after="200" w:before="40"/>
      </w:pPr>
      <w:r>
        <w:rPr>
          <w:rFonts w:ascii="Consolas" w:cs="Consolas" w:eastAsia="Consolas" w:hAnsi="Consolas"/>
          <w:sz w:val="18"/>
          <w:szCs w:val="18"/>
        </w:rPr>
        <w:t xml:space="preserve">Total Fraud Value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CALCULATE(SUM(Fact_Transactions[Transaction_Amount]), Fact_Transactions[Is_Fraud] = 1)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Average Transaction Risk Score</w:t>
      </w:r>
    </w:p>
    <w:p>
      <w:pPr>
        <w:shd w:fill="F2F2F2" w:color="auto" w:val="clear"/>
        <w:spacing w:after="200" w:before="40"/>
      </w:pPr>
      <w:r>
        <w:rPr>
          <w:rFonts w:ascii="Consolas" w:cs="Consolas" w:eastAsia="Consolas" w:hAnsi="Consolas"/>
          <w:sz w:val="18"/>
          <w:szCs w:val="18"/>
        </w:rPr>
        <w:t xml:space="preserve">Avg Risk Score = AVERAGE(Fact_Transactions[Transaction_Risk_Score])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Text Generation Measure (Smart Narrative)</w:t>
      </w:r>
    </w:p>
    <w:p>
      <w:pPr>
        <w:shd w:fill="F2F2F2" w:color="auto" w:val="clear"/>
        <w:spacing w:after="200" w:before="40"/>
      </w:pPr>
      <w:r>
        <w:rPr>
          <w:rFonts w:ascii="Consolas" w:cs="Consolas" w:eastAsia="Consolas" w:hAnsi="Consolas"/>
          <w:sz w:val="18"/>
          <w:szCs w:val="18"/>
        </w:rPr>
        <w:t xml:space="preserve">Fraud Narrative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CurrentRate = [Fraud Rate]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TopMerchant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CALCULATE(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SELECTEDVALUE(Fact_Transactions[Merchant_Category]),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TOPN(1, VALUES(Fact_Transactions[Merchant_Category]), [Fraud Rate], DESC)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RETURN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"For the current selection, " &amp; FORMAT(CurrentRate, "0.0%") &amp;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 of transactions are fraudulent, with " &amp; TopMerchant &amp;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 showing the highest concentration of risk."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Multi-Condition KPI Alert (Red/Critical)</w:t>
      </w:r>
    </w:p>
    <w:p>
      <w:pPr>
        <w:shd w:fill="F2F2F2" w:color="auto" w:val="clear"/>
        <w:spacing w:after="200" w:before="40"/>
      </w:pPr>
      <w:r>
        <w:rPr>
          <w:rFonts w:ascii="Consolas" w:cs="Consolas" w:eastAsia="Consolas" w:hAnsi="Consolas"/>
          <w:sz w:val="18"/>
          <w:szCs w:val="18"/>
        </w:rPr>
        <w:t xml:space="preserve">KPI Status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HighRisk = [Avg Risk Score] &gt; 40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HighFraudRate = [Fraud Rate] &gt; 0.05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RETURN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IF(HighRisk &amp;&amp; HighFraudRate, "Critical", IF(HighRisk || HighFraudRate, "Watch", "Normal"))</w:t>
      </w:r>
    </w:p>
    <w:p>
      <w:pPr>
        <w:spacing w:after="140"/>
      </w:pPr>
      <w:r>
        <w:rPr>
          <w:sz w:val="21"/>
          <w:szCs w:val="21"/>
        </w:rPr>
        <w:t xml:space="preserve">Bind this measure to a KPI card's conditional-formatting rules so the card only turns red when both conditions are true simultaneously — a single elevated metric should not trigger the alert on its own.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What-If Parameter: Review Threshold</w:t>
      </w:r>
    </w:p>
    <w:p>
      <w:pPr>
        <w:spacing w:after="140"/>
      </w:pPr>
      <w:r>
        <w:rPr>
          <w:sz w:val="21"/>
          <w:szCs w:val="21"/>
        </w:rPr>
        <w:t xml:space="preserve">Modelling → New Parameter → Numeric range, named Review Threshold, 0 to 100, increment 1. Power BI creates a Review Threshold[Review Threshold Value] measure automatically. Then add:</w:t>
      </w:r>
    </w:p>
    <w:p>
      <w:pPr>
        <w:shd w:fill="F2F2F2" w:color="auto" w:val="clear"/>
        <w:spacing w:after="200" w:before="40"/>
      </w:pPr>
      <w:r>
        <w:rPr>
          <w:rFonts w:ascii="Consolas" w:cs="Consolas" w:eastAsia="Consolas" w:hAnsi="Consolas"/>
          <w:sz w:val="18"/>
          <w:szCs w:val="18"/>
        </w:rPr>
        <w:t xml:space="preserve">Estimated Loss Prevented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ThresholdPct = [Review Threshold Value] / 100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CaughtValue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CALCULATE(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SUM(Fact_Transactions[Transaction_Amount]),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Fact_Transactions[Is_Fraud] = 1,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Fact_Transactions[Fraud_Probability] &gt;= ThresholdPct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VAR ReviewCost 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CALCULATE(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COUNTROWS(Fact_Transactions),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Fact_Transactions[Is_Fraud] = 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Fact_Transactions[Fraud_Probability] &gt;= ThresholdPct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) * 15   -- assumed cost per manual review, adjust to your operations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RETURN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CaughtValue - ReviewCost</w:t>
      </w:r>
    </w:p>
    <w:p>
      <w:pPr>
        <w:spacing w:after="140"/>
      </w:pPr>
      <w:r>
        <w:rPr>
          <w:sz w:val="21"/>
          <w:szCs w:val="21"/>
        </w:rPr>
        <w:t xml:space="preserve">Bind the Review Threshold slicer to a card showing Estimated Loss Prevented so analysts can see the trade-off move in real time as they drag the slider — this mirrors the Python decision-threshold analysis in Phase 2.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4. Suggested Visuals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Time-series line chart: Fraud Rate and Avg Risk Score by Dim_Date[Date]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Column chart: Fraud Rate by Transaction_Type and by Merchant_Category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Matrix heatmap: Merchant_Category (rows) × Age_Group (columns), values = Fraud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Slicers: Transaction_Type, Merchant_Category, Age_Group, Transaction_Country, Dim_Date[Date]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KPI cards: Fraud Rate, Total Fraud Value, Avg Risk Score — each bound to the KPI Status measure for conditional red/critical formatting</w:t>
      </w:r>
    </w:p>
    <w:p>
      <w:pPr>
        <w:pBdr>
          <w:bottom w:val="single" w:color="AAAAAA" w:sz="6" w:space="1"/>
        </w:pBdr>
        <w:spacing w:after="220" w:before="12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Deliverables &amp; How to Reproduce</w:t>
      </w:r>
    </w:p>
    <w:p>
      <w:pPr>
        <w:spacing w:after="140"/>
      </w:pPr>
      <w:r>
        <w:rPr>
          <w:sz w:val="21"/>
          <w:szCs w:val="21"/>
        </w:rPr>
        <w:t xml:space="preserve">Everything below was generated by running the single script Fraud_Detection_Complete_Solution.py against Fraud_Transactions_Data.csv. To reproduce: place both files in the same folder, install the listed dependencies, and run the script — all outputs are regenerated deterministically (fixed random seeds throughout).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Fraud_Detection_Complete_Solution.py — the full, runnable Phase 1 + Phase 2 + Phase 3-prep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quarantined_fraud_data.csv — rows failing data-quality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Fraud_Data_Cleaned_Engineered.csv — clean, feature-engineered base table (2,990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Fraud_Data_Scored_Full.csv — base table plus model probability, predicted label, and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fraud_random_forest_model.joblib — the trained, tuned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metrics_summary.json — every evaluation number in one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PowerBI_Star_Schema/ — Fact_Transactions, Dim_Customer, Dim_Merchant, Dim_Date, ready to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report — methodology, results, and the Power BI build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16fe5e5f9b89b24f1303d345ce1606995234.png"/><Relationship Id="rId8" Type="http://schemas.openxmlformats.org/officeDocument/2006/relationships/image" Target="media/22e532a66b57efd441be80d1130f7fc3dc794b6e.png"/><Relationship Id="rId9" Type="http://schemas.openxmlformats.org/officeDocument/2006/relationships/image" Target="media/b447f173aaded3833271cf4976805838767bfa6b.png"/><Relationship Id="rId10" Type="http://schemas.openxmlformats.org/officeDocument/2006/relationships/image" Target="media/18e019e0186f612ff9ca18f0f847950782c4df2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2026-09-01T15:28:13.463Z</dcterms:created>
  <dcterms:modified xsi:type="dcterms:W3CDTF">2026-09-01T15:28:13.463Z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