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467C" w14:textId="77777777" w:rsidR="00674A91" w:rsidRDefault="00674A91" w:rsidP="00D32F74">
      <w:pPr>
        <w:rPr>
          <w:b/>
          <w:bCs/>
        </w:rPr>
      </w:pPr>
    </w:p>
    <w:p w14:paraId="7682B82D" w14:textId="621A220E" w:rsidR="00C27005" w:rsidRPr="00C27005" w:rsidRDefault="00C27005" w:rsidP="00D32F74">
      <w:pPr>
        <w:rPr>
          <w:sz w:val="22"/>
          <w:szCs w:val="22"/>
        </w:rPr>
      </w:pPr>
      <w:r>
        <w:rPr>
          <w:b/>
          <w:bCs/>
        </w:rPr>
        <w:t xml:space="preserve">Humus waste and energy management company (HW&amp;EM) </w:t>
      </w:r>
      <w:r w:rsidRPr="00C27005">
        <w:rPr>
          <w:sz w:val="22"/>
          <w:szCs w:val="22"/>
        </w:rPr>
        <w:t>object to convert the organic waste into to energy and like to support farmer/country to move towards the organic farming by reducing dependence on chemical fertilizers.</w:t>
      </w:r>
    </w:p>
    <w:p w14:paraId="36CB957A" w14:textId="762A5F59" w:rsidR="00C27005" w:rsidRPr="00C27005" w:rsidRDefault="00C27005" w:rsidP="00D32F74">
      <w:pPr>
        <w:rPr>
          <w:sz w:val="22"/>
          <w:szCs w:val="22"/>
        </w:rPr>
      </w:pPr>
      <w:r w:rsidRPr="00C27005">
        <w:rPr>
          <w:sz w:val="22"/>
          <w:szCs w:val="22"/>
        </w:rPr>
        <w:t xml:space="preserve"> To achieve our objective, we would to take a step and initiate a project to convert Kitchen waste (MSW waste) into Biogas and Compost</w:t>
      </w:r>
    </w:p>
    <w:p w14:paraId="7703978B" w14:textId="27D2992E" w:rsidR="002962DF" w:rsidRPr="002962DF" w:rsidRDefault="002962DF" w:rsidP="00D32F74">
      <w:pPr>
        <w:rPr>
          <w:b/>
          <w:bCs/>
          <w:sz w:val="28"/>
          <w:szCs w:val="28"/>
        </w:rPr>
      </w:pPr>
      <w:r w:rsidRPr="002962DF">
        <w:rPr>
          <w:b/>
          <w:bCs/>
          <w:sz w:val="28"/>
          <w:szCs w:val="28"/>
        </w:rPr>
        <w:t>Project Overview</w:t>
      </w:r>
    </w:p>
    <w:p w14:paraId="171BD472" w14:textId="455CF183" w:rsidR="002962DF" w:rsidRPr="002962DF" w:rsidRDefault="002962DF" w:rsidP="002962DF">
      <w:pPr>
        <w:rPr>
          <w:sz w:val="22"/>
          <w:szCs w:val="22"/>
        </w:rPr>
      </w:pPr>
      <w:r w:rsidRPr="002962DF">
        <w:rPr>
          <w:sz w:val="22"/>
          <w:szCs w:val="22"/>
        </w:rPr>
        <w:t>The proposed project involves the establishment of a Compressed Biogas (CBG) production facility utilizing kitchen waste/fruit-vegetable waste as the primary feedstock along with cattle manure. The project is being developed to convert MSW waste into renewable energy and organic fertilizers through anaerobic digestion technology and convert the slurry of digester into vermicompost/aerobic compost. The plant will produce high-quality Compressed Biogas (CBG) conforming to applicable industry standards and shall contribute towards sustainable waste management, renewable energy generation, reduction of greenhouse gas emissions, and promotion of circular economy principles.</w:t>
      </w:r>
    </w:p>
    <w:p w14:paraId="3FB479FB" w14:textId="5ACEC673" w:rsidR="002962DF" w:rsidRPr="002962DF" w:rsidRDefault="002962DF" w:rsidP="002962DF">
      <w:pPr>
        <w:rPr>
          <w:sz w:val="22"/>
          <w:szCs w:val="22"/>
        </w:rPr>
      </w:pPr>
      <w:r w:rsidRPr="002962DF">
        <w:rPr>
          <w:sz w:val="22"/>
          <w:szCs w:val="22"/>
        </w:rPr>
        <w:t xml:space="preserve">The project has been conceptualized in line with the Government of India's initiatives for the promotion of biofuels and renewable energy under various programs aimed at reducing dependence on fossil fuels and enhancing energy security. </w:t>
      </w:r>
    </w:p>
    <w:p w14:paraId="09B85E17" w14:textId="77777777" w:rsidR="002962DF" w:rsidRPr="002962DF" w:rsidRDefault="002962DF" w:rsidP="002962DF">
      <w:pPr>
        <w:rPr>
          <w:sz w:val="22"/>
          <w:szCs w:val="22"/>
        </w:rPr>
      </w:pPr>
      <w:r w:rsidRPr="002962DF">
        <w:rPr>
          <w:sz w:val="22"/>
          <w:szCs w:val="22"/>
        </w:rPr>
        <w:t>In addition to the production of CBG, the project will generate valuable by-products in the form of Solid Organic Fertilizer (SOF) and Liquid Fermented Organic Manure (LFOM), thereby creating multiple revenue streams while supporting sustainable agricultural practices.</w:t>
      </w:r>
    </w:p>
    <w:p w14:paraId="00FE4BE9" w14:textId="77777777" w:rsidR="002962DF" w:rsidRPr="002962DF" w:rsidRDefault="002962DF" w:rsidP="002962DF">
      <w:pPr>
        <w:rPr>
          <w:sz w:val="22"/>
          <w:szCs w:val="22"/>
        </w:rPr>
      </w:pPr>
      <w:r w:rsidRPr="002962DF">
        <w:rPr>
          <w:sz w:val="22"/>
          <w:szCs w:val="22"/>
        </w:rPr>
        <w:t>The proposed facility will be developed with modern bio methanation and gas upgrading technology to ensure efficient utilization of feedstock, optimum methane recovery, and reliable plant operation.</w:t>
      </w:r>
    </w:p>
    <w:p w14:paraId="39EEDD8A" w14:textId="36B2DBEC" w:rsidR="002962DF" w:rsidRPr="002962DF" w:rsidRDefault="002962DF" w:rsidP="002962DF">
      <w:pPr>
        <w:rPr>
          <w:sz w:val="22"/>
          <w:szCs w:val="22"/>
        </w:rPr>
      </w:pPr>
      <w:r w:rsidRPr="002962DF">
        <w:rPr>
          <w:sz w:val="22"/>
          <w:szCs w:val="22"/>
        </w:rPr>
        <w:t>Further strengthening the commercial viability of the project, a Bilateral Agreement is proposed to be entered into with Indraprastha Gas Limited (IGL) for the offtake and marketing of Compressed Biogas (CBG) under the applicable regulatory and commercial framework. The proposed agreement is expected to facilitate the sale and distribution of CBG produced by the plant through the IGL gas network, subject to applicable gas quality standards, pipeline connectivity requirements, and mutually agreed commercial terms. This arrangement is expected to enhance revenue certainty, mitigate market-related risks, and improve the overall bankability of the proposed project.</w:t>
      </w:r>
    </w:p>
    <w:p w14:paraId="267570C8" w14:textId="77777777" w:rsidR="002962DF" w:rsidRDefault="002962DF" w:rsidP="00D32F74">
      <w:pPr>
        <w:rPr>
          <w:b/>
          <w:bCs/>
        </w:rPr>
      </w:pPr>
    </w:p>
    <w:p w14:paraId="21BA5980" w14:textId="1BB5BF37" w:rsidR="00D32F74" w:rsidRPr="00D32F74" w:rsidRDefault="00D32F74" w:rsidP="00D32F74">
      <w:r w:rsidRPr="00D32F74">
        <w:rPr>
          <w:b/>
          <w:bCs/>
        </w:rPr>
        <w:t>Renewing waste for clean energy. </w:t>
      </w:r>
    </w:p>
    <w:p w14:paraId="1885BDE0" w14:textId="32452324" w:rsidR="00DF0099" w:rsidRPr="00C27005" w:rsidRDefault="00DF0099" w:rsidP="00D32F74">
      <w:pPr>
        <w:rPr>
          <w:sz w:val="22"/>
          <w:szCs w:val="22"/>
        </w:rPr>
      </w:pPr>
      <w:r w:rsidRPr="00C27005">
        <w:rPr>
          <w:sz w:val="22"/>
          <w:szCs w:val="22"/>
        </w:rPr>
        <w:t xml:space="preserve">The facility shall be designed for continuous operation throughout the year and will comprise segregated kitchen waste receiving and handling systems, pre-processing and feed preparation units, anaerobic digesters, biogas purification and upgrading systems, gas quality monitoring and metering equipment, and grid injection infrastructure. The upgraded biomethane shall be compressed or conditioned to meet the applicable gas quality, pressure, and safety requirements specified by Indraprastha Gas Limited (IGL) for injection into its gas network, subject to technical feasibility and </w:t>
      </w:r>
      <w:r w:rsidRPr="00C27005">
        <w:rPr>
          <w:sz w:val="22"/>
          <w:szCs w:val="22"/>
        </w:rPr>
        <w:lastRenderedPageBreak/>
        <w:t>necessary approvals. The facility will also include digestate handling and organic manure processing systems to ensure efficient resource recovery and environmentally sustainable waste management.</w:t>
      </w:r>
    </w:p>
    <w:p w14:paraId="44D05327" w14:textId="49E95C46" w:rsidR="00674A91" w:rsidRPr="00C27005" w:rsidRDefault="00674A91" w:rsidP="00D32F74">
      <w:pPr>
        <w:rPr>
          <w:sz w:val="22"/>
          <w:szCs w:val="22"/>
        </w:rPr>
      </w:pPr>
      <w:r w:rsidRPr="00C27005">
        <w:rPr>
          <w:sz w:val="22"/>
          <w:szCs w:val="22"/>
        </w:rPr>
        <w:t xml:space="preserve">A 3.5 TPD </w:t>
      </w:r>
      <w:r w:rsidR="00DF0099" w:rsidRPr="00C27005">
        <w:rPr>
          <w:sz w:val="22"/>
          <w:szCs w:val="22"/>
        </w:rPr>
        <w:t>CBG</w:t>
      </w:r>
      <w:r w:rsidRPr="00C27005">
        <w:rPr>
          <w:sz w:val="22"/>
          <w:szCs w:val="22"/>
        </w:rPr>
        <w:t xml:space="preserve"> plant, Converting kitchen waste and cattle manure into Household </w:t>
      </w:r>
      <w:r w:rsidR="00C92E67" w:rsidRPr="00C27005">
        <w:rPr>
          <w:sz w:val="22"/>
          <w:szCs w:val="22"/>
        </w:rPr>
        <w:t xml:space="preserve">stove Biogas for </w:t>
      </w:r>
      <w:r w:rsidRPr="00C27005">
        <w:rPr>
          <w:sz w:val="22"/>
          <w:szCs w:val="22"/>
        </w:rPr>
        <w:t xml:space="preserve">National </w:t>
      </w:r>
      <w:r w:rsidR="00C92E67" w:rsidRPr="00C27005">
        <w:rPr>
          <w:sz w:val="22"/>
          <w:szCs w:val="22"/>
        </w:rPr>
        <w:t>Capital</w:t>
      </w:r>
      <w:r w:rsidRPr="00C27005">
        <w:rPr>
          <w:sz w:val="22"/>
          <w:szCs w:val="22"/>
        </w:rPr>
        <w:t>.</w:t>
      </w:r>
    </w:p>
    <w:p w14:paraId="06148228" w14:textId="26464C71" w:rsidR="00EF5F17" w:rsidRPr="00C27005" w:rsidRDefault="00797D38" w:rsidP="00D32F74">
      <w:pPr>
        <w:rPr>
          <w:sz w:val="22"/>
          <w:szCs w:val="22"/>
        </w:rPr>
      </w:pPr>
      <w:r w:rsidRPr="00C27005">
        <w:rPr>
          <w:sz w:val="22"/>
          <w:szCs w:val="22"/>
        </w:rPr>
        <w:t>IGL retail</w:t>
      </w:r>
      <w:r w:rsidR="00EF5F17" w:rsidRPr="00C27005">
        <w:rPr>
          <w:sz w:val="22"/>
          <w:szCs w:val="22"/>
        </w:rPr>
        <w:t xml:space="preserve"> grade 3.5 TPD biogas </w:t>
      </w:r>
      <w:r w:rsidR="002962DF" w:rsidRPr="00C27005">
        <w:rPr>
          <w:sz w:val="22"/>
          <w:szCs w:val="22"/>
        </w:rPr>
        <w:t>180.46</w:t>
      </w:r>
      <w:r w:rsidR="00EF5F17" w:rsidRPr="00C27005">
        <w:rPr>
          <w:sz w:val="22"/>
          <w:szCs w:val="22"/>
        </w:rPr>
        <w:t xml:space="preserve"> MMBTU/DAY dispatched daily pipeline</w:t>
      </w:r>
      <w:r w:rsidRPr="00C27005">
        <w:rPr>
          <w:sz w:val="22"/>
          <w:szCs w:val="22"/>
        </w:rPr>
        <w:t xml:space="preserve"> injection</w:t>
      </w:r>
      <w:r w:rsidR="00EF5F17" w:rsidRPr="00C27005">
        <w:rPr>
          <w:sz w:val="22"/>
          <w:szCs w:val="22"/>
        </w:rPr>
        <w:t xml:space="preserve"> to Household stoves.</w:t>
      </w:r>
    </w:p>
    <w:p w14:paraId="7C63B98A" w14:textId="77777777" w:rsidR="002962DF" w:rsidRPr="00C27005" w:rsidRDefault="002962DF" w:rsidP="00D32F74">
      <w:pPr>
        <w:rPr>
          <w:sz w:val="22"/>
          <w:szCs w:val="22"/>
        </w:rPr>
      </w:pPr>
      <w:r w:rsidRPr="00C27005">
        <w:rPr>
          <w:sz w:val="22"/>
          <w:szCs w:val="22"/>
        </w:rPr>
        <w:t>1277</w:t>
      </w:r>
      <w:r w:rsidR="00D32F74" w:rsidRPr="00C27005">
        <w:rPr>
          <w:sz w:val="22"/>
          <w:szCs w:val="22"/>
        </w:rPr>
        <w:t xml:space="preserve"> T/YEAR</w:t>
      </w:r>
      <w:r w:rsidR="00EF5F17" w:rsidRPr="00C27005">
        <w:rPr>
          <w:sz w:val="22"/>
          <w:szCs w:val="22"/>
        </w:rPr>
        <w:t xml:space="preserve"> a</w:t>
      </w:r>
      <w:r w:rsidR="00D32F74" w:rsidRPr="00C27005">
        <w:rPr>
          <w:sz w:val="22"/>
          <w:szCs w:val="22"/>
        </w:rPr>
        <w:t xml:space="preserve">nuual </w:t>
      </w:r>
      <w:r w:rsidR="00EF5F17" w:rsidRPr="00C27005">
        <w:rPr>
          <w:sz w:val="22"/>
          <w:szCs w:val="22"/>
        </w:rPr>
        <w:t>PNG</w:t>
      </w:r>
      <w:r w:rsidR="00D32F74" w:rsidRPr="00C27005">
        <w:rPr>
          <w:sz w:val="22"/>
          <w:szCs w:val="22"/>
        </w:rPr>
        <w:t xml:space="preserve"> production at design throughput</w:t>
      </w:r>
    </w:p>
    <w:p w14:paraId="3C2564AE" w14:textId="1DAD768A" w:rsidR="00D32F74" w:rsidRDefault="00D32F74" w:rsidP="00D32F74">
      <w:pPr>
        <w:rPr>
          <w:b/>
          <w:bCs/>
        </w:rPr>
      </w:pPr>
      <w:r w:rsidRPr="00D32F74">
        <w:t> </w:t>
      </w:r>
      <w:r w:rsidR="00DF0099">
        <w:rPr>
          <w:b/>
          <w:bCs/>
        </w:rPr>
        <w:t>Project location</w:t>
      </w:r>
    </w:p>
    <w:p w14:paraId="4CD88966" w14:textId="64E58EDB" w:rsidR="00DF0099" w:rsidRDefault="00DF0099" w:rsidP="00D32F74">
      <w:pPr>
        <w:rPr>
          <w:sz w:val="22"/>
          <w:szCs w:val="22"/>
        </w:rPr>
      </w:pPr>
      <w:r>
        <w:rPr>
          <w:sz w:val="22"/>
          <w:szCs w:val="22"/>
        </w:rPr>
        <w:t xml:space="preserve">The proposed project is located in </w:t>
      </w:r>
      <w:proofErr w:type="spellStart"/>
      <w:r>
        <w:rPr>
          <w:sz w:val="22"/>
          <w:szCs w:val="22"/>
        </w:rPr>
        <w:t>Ghitorni</w:t>
      </w:r>
      <w:proofErr w:type="spellEnd"/>
      <w:r>
        <w:rPr>
          <w:sz w:val="22"/>
          <w:szCs w:val="22"/>
        </w:rPr>
        <w:t xml:space="preserve">, New Delhi.  </w:t>
      </w:r>
    </w:p>
    <w:p w14:paraId="5652834B" w14:textId="20D95682" w:rsidR="00DF0099" w:rsidRPr="00DF0099" w:rsidRDefault="00DF0099" w:rsidP="00D32F74">
      <w:pPr>
        <w:rPr>
          <w:sz w:val="22"/>
          <w:szCs w:val="22"/>
        </w:rPr>
      </w:pPr>
      <w:r w:rsidRPr="00DF0099">
        <w:rPr>
          <w:sz w:val="22"/>
          <w:szCs w:val="22"/>
        </w:rPr>
        <w:t>The project site has been strategically selected considering the availability of segregated kitchen waste and other biodegradable organic waste generated by bulk waste generators, including institutional kitchens, Army canteens, residential welfare associations (RWAs), hotels, restaurants, and other commercial establishments in the surrounding area. The site selection also considers transportation connectivity, water and power availability, waste collection logistics, and proximity to potential Compressed Biogas (CBG) offtake infrastructure. This approach is expected to facilitate reliable feedstock procurement through long-term waste supply agreements, optimize transportation costs, and ensure efficient and sustainable plant operations.</w:t>
      </w:r>
    </w:p>
    <w:p w14:paraId="2DAD771F" w14:textId="0798F4E6" w:rsidR="00D32F74" w:rsidRPr="00AF6944" w:rsidRDefault="00711726" w:rsidP="00D32F74">
      <w:pPr>
        <w:rPr>
          <w:b/>
          <w:bCs/>
        </w:rPr>
      </w:pPr>
      <w:r>
        <w:rPr>
          <w:b/>
          <w:bCs/>
        </w:rPr>
        <w:t xml:space="preserve">Technical requirements </w:t>
      </w:r>
    </w:p>
    <w:p w14:paraId="06ADE07D" w14:textId="05593D52" w:rsidR="00BC5D8D" w:rsidRPr="00A13A57" w:rsidRDefault="00EF5F17" w:rsidP="00D32F74">
      <w:pPr>
        <w:rPr>
          <w:sz w:val="22"/>
          <w:szCs w:val="22"/>
        </w:rPr>
      </w:pPr>
      <w:r w:rsidRPr="00A13A57">
        <w:rPr>
          <w:sz w:val="22"/>
          <w:szCs w:val="22"/>
        </w:rPr>
        <w:t xml:space="preserve">The </w:t>
      </w:r>
      <w:r w:rsidR="00DF0099" w:rsidRPr="00A13A57">
        <w:rPr>
          <w:sz w:val="22"/>
          <w:szCs w:val="22"/>
        </w:rPr>
        <w:t>4</w:t>
      </w:r>
      <w:r w:rsidRPr="00A13A57">
        <w:rPr>
          <w:sz w:val="22"/>
          <w:szCs w:val="22"/>
        </w:rPr>
        <w:t>-acre land</w:t>
      </w:r>
      <w:r w:rsidR="00BC5D8D" w:rsidRPr="00A13A57">
        <w:rPr>
          <w:sz w:val="22"/>
          <w:szCs w:val="22"/>
        </w:rPr>
        <w:t xml:space="preserve"> to </w:t>
      </w:r>
      <w:r w:rsidR="00DF0099" w:rsidRPr="00A13A57">
        <w:rPr>
          <w:sz w:val="22"/>
          <w:szCs w:val="22"/>
        </w:rPr>
        <w:t xml:space="preserve">segregate and </w:t>
      </w:r>
      <w:r w:rsidR="00BC5D8D" w:rsidRPr="00A13A57">
        <w:rPr>
          <w:sz w:val="22"/>
          <w:szCs w:val="22"/>
        </w:rPr>
        <w:t xml:space="preserve">process </w:t>
      </w:r>
      <w:r w:rsidR="00DF0099" w:rsidRPr="00A13A57">
        <w:rPr>
          <w:sz w:val="22"/>
          <w:szCs w:val="22"/>
        </w:rPr>
        <w:t>MSW waste into CGB.</w:t>
      </w:r>
    </w:p>
    <w:p w14:paraId="0638E678" w14:textId="3050D6DA" w:rsidR="00BC5D8D" w:rsidRPr="00A13A57" w:rsidRDefault="00BC5D8D" w:rsidP="00BC5D8D">
      <w:pPr>
        <w:pStyle w:val="ListParagraph"/>
        <w:numPr>
          <w:ilvl w:val="0"/>
          <w:numId w:val="1"/>
        </w:numPr>
        <w:rPr>
          <w:sz w:val="22"/>
          <w:szCs w:val="22"/>
        </w:rPr>
      </w:pPr>
      <w:r w:rsidRPr="00A13A57">
        <w:rPr>
          <w:sz w:val="22"/>
          <w:szCs w:val="22"/>
        </w:rPr>
        <w:t>S</w:t>
      </w:r>
      <w:r w:rsidR="00CE42CF" w:rsidRPr="00A13A57">
        <w:rPr>
          <w:sz w:val="22"/>
          <w:szCs w:val="22"/>
        </w:rPr>
        <w:t>egregation point</w:t>
      </w:r>
      <w:r w:rsidRPr="00A13A57">
        <w:rPr>
          <w:sz w:val="22"/>
          <w:szCs w:val="22"/>
        </w:rPr>
        <w:t xml:space="preserve"> - 2nd stage segregation of waste manual</w:t>
      </w:r>
      <w:r w:rsidR="00390D67" w:rsidRPr="00A13A57">
        <w:rPr>
          <w:sz w:val="22"/>
          <w:szCs w:val="22"/>
        </w:rPr>
        <w:t xml:space="preserve"> and by </w:t>
      </w:r>
      <w:r w:rsidR="00390D67" w:rsidRPr="00A13A57">
        <w:rPr>
          <w:sz w:val="22"/>
          <w:szCs w:val="22"/>
        </w:rPr>
        <w:t>metal detector</w:t>
      </w:r>
      <w:r w:rsidR="00390D67" w:rsidRPr="00A13A57">
        <w:rPr>
          <w:sz w:val="22"/>
          <w:szCs w:val="22"/>
        </w:rPr>
        <w:t>.</w:t>
      </w:r>
    </w:p>
    <w:p w14:paraId="209444B2" w14:textId="517F6A53" w:rsidR="00390D67" w:rsidRPr="00A13A57" w:rsidRDefault="00390D67" w:rsidP="00390D67">
      <w:pPr>
        <w:pStyle w:val="ListParagraph"/>
        <w:numPr>
          <w:ilvl w:val="0"/>
          <w:numId w:val="1"/>
        </w:numPr>
        <w:rPr>
          <w:sz w:val="22"/>
          <w:szCs w:val="22"/>
        </w:rPr>
      </w:pPr>
      <w:r w:rsidRPr="00A13A57">
        <w:rPr>
          <w:sz w:val="22"/>
          <w:szCs w:val="22"/>
        </w:rPr>
        <w:t xml:space="preserve">Waster </w:t>
      </w:r>
      <w:r w:rsidR="00CE42CF" w:rsidRPr="00A13A57">
        <w:rPr>
          <w:sz w:val="22"/>
          <w:szCs w:val="22"/>
        </w:rPr>
        <w:t>Shredder</w:t>
      </w:r>
      <w:r w:rsidRPr="00A13A57">
        <w:rPr>
          <w:sz w:val="22"/>
          <w:szCs w:val="22"/>
        </w:rPr>
        <w:t>.</w:t>
      </w:r>
    </w:p>
    <w:p w14:paraId="5984756F" w14:textId="7D4DA985" w:rsidR="00390D67" w:rsidRPr="00A13A57" w:rsidRDefault="00646A23" w:rsidP="00390D67">
      <w:pPr>
        <w:pStyle w:val="ListParagraph"/>
        <w:numPr>
          <w:ilvl w:val="0"/>
          <w:numId w:val="1"/>
        </w:numPr>
        <w:rPr>
          <w:sz w:val="22"/>
          <w:szCs w:val="22"/>
        </w:rPr>
      </w:pPr>
      <w:r w:rsidRPr="00A13A57">
        <w:rPr>
          <w:sz w:val="22"/>
          <w:szCs w:val="22"/>
        </w:rPr>
        <w:t>Vertical Agitator m</w:t>
      </w:r>
      <w:r w:rsidR="00390D67" w:rsidRPr="00A13A57">
        <w:rPr>
          <w:sz w:val="22"/>
          <w:szCs w:val="22"/>
        </w:rPr>
        <w:t>ix</w:t>
      </w:r>
      <w:r w:rsidRPr="00A13A57">
        <w:rPr>
          <w:sz w:val="22"/>
          <w:szCs w:val="22"/>
        </w:rPr>
        <w:t>ing tank</w:t>
      </w:r>
      <w:r w:rsidR="00390D67" w:rsidRPr="00A13A57">
        <w:rPr>
          <w:sz w:val="22"/>
          <w:szCs w:val="22"/>
        </w:rPr>
        <w:t xml:space="preserve"> to mix organic waste with other carbon to maintain C:N ratio. </w:t>
      </w:r>
    </w:p>
    <w:p w14:paraId="29ADF5AE" w14:textId="0C30868B" w:rsidR="00646A23" w:rsidRPr="00A13A57" w:rsidRDefault="00646A23" w:rsidP="00646A23">
      <w:pPr>
        <w:pStyle w:val="ListParagraph"/>
        <w:numPr>
          <w:ilvl w:val="0"/>
          <w:numId w:val="1"/>
        </w:numPr>
        <w:spacing w:after="0" w:line="240" w:lineRule="auto"/>
        <w:rPr>
          <w:sz w:val="22"/>
          <w:szCs w:val="22"/>
        </w:rPr>
      </w:pPr>
      <w:r w:rsidRPr="00A13A57">
        <w:rPr>
          <w:sz w:val="22"/>
          <w:szCs w:val="22"/>
        </w:rPr>
        <w:t>Hydro</w:t>
      </w:r>
      <w:r w:rsidR="00A13A57" w:rsidRPr="00A13A57">
        <w:rPr>
          <w:sz w:val="22"/>
          <w:szCs w:val="22"/>
        </w:rPr>
        <w:t xml:space="preserve">lyzation tank </w:t>
      </w:r>
      <w:r w:rsidR="00A13A57" w:rsidRPr="00A13A57">
        <w:rPr>
          <w:sz w:val="22"/>
          <w:szCs w:val="22"/>
        </w:rPr>
        <w:t>or pre-digester may be provided upstream of the main anaerobic digester, subject to the selected process configuration</w:t>
      </w:r>
    </w:p>
    <w:p w14:paraId="799F27E3" w14:textId="0E6D6B24" w:rsidR="00390D67" w:rsidRPr="00A13A57" w:rsidRDefault="00A13A57" w:rsidP="00390D67">
      <w:pPr>
        <w:pStyle w:val="ListParagraph"/>
        <w:numPr>
          <w:ilvl w:val="0"/>
          <w:numId w:val="1"/>
        </w:numPr>
        <w:rPr>
          <w:sz w:val="22"/>
          <w:szCs w:val="22"/>
        </w:rPr>
      </w:pPr>
      <w:r w:rsidRPr="00A13A57">
        <w:rPr>
          <w:sz w:val="22"/>
          <w:szCs w:val="22"/>
        </w:rPr>
        <w:t xml:space="preserve">Two </w:t>
      </w:r>
      <w:r w:rsidR="00390D67" w:rsidRPr="00A13A57">
        <w:rPr>
          <w:sz w:val="22"/>
          <w:szCs w:val="22"/>
        </w:rPr>
        <w:t>Mesophilic anaerobic digestion</w:t>
      </w:r>
      <w:r w:rsidRPr="00A13A57">
        <w:rPr>
          <w:sz w:val="22"/>
          <w:szCs w:val="22"/>
        </w:rPr>
        <w:t xml:space="preserve"> </w:t>
      </w:r>
      <w:r w:rsidRPr="00A13A57">
        <w:rPr>
          <w:sz w:val="22"/>
          <w:szCs w:val="22"/>
        </w:rPr>
        <w:t>each digester is designed with a diameter of 22 m and a cylindrical height of 9 m.</w:t>
      </w:r>
      <w:r w:rsidRPr="00A13A57">
        <w:rPr>
          <w:sz w:val="22"/>
          <w:szCs w:val="22"/>
        </w:rPr>
        <w:t xml:space="preserve"> </w:t>
      </w:r>
    </w:p>
    <w:p w14:paraId="2215C12C" w14:textId="77777777" w:rsidR="00A13A57" w:rsidRPr="00A13A57" w:rsidRDefault="00A13A57" w:rsidP="00A13A57">
      <w:pPr>
        <w:pStyle w:val="ListParagraph"/>
        <w:ind w:left="1080"/>
        <w:rPr>
          <w:sz w:val="22"/>
          <w:szCs w:val="22"/>
        </w:rPr>
      </w:pPr>
      <w:r w:rsidRPr="00A13A57">
        <w:rPr>
          <w:sz w:val="22"/>
          <w:szCs w:val="22"/>
        </w:rPr>
        <w:t>• Diameter: 22 m</w:t>
      </w:r>
    </w:p>
    <w:p w14:paraId="37A07A4B" w14:textId="77777777" w:rsidR="00A13A57" w:rsidRPr="00A13A57" w:rsidRDefault="00A13A57" w:rsidP="00A13A57">
      <w:pPr>
        <w:pStyle w:val="ListParagraph"/>
        <w:ind w:left="1080"/>
        <w:rPr>
          <w:sz w:val="22"/>
          <w:szCs w:val="22"/>
        </w:rPr>
      </w:pPr>
      <w:r w:rsidRPr="00A13A57">
        <w:rPr>
          <w:sz w:val="22"/>
          <w:szCs w:val="22"/>
        </w:rPr>
        <w:t>• Cylindrical height: 9 m</w:t>
      </w:r>
    </w:p>
    <w:p w14:paraId="228069C3" w14:textId="77777777" w:rsidR="00A13A57" w:rsidRPr="00A13A57" w:rsidRDefault="00A13A57" w:rsidP="00A13A57">
      <w:pPr>
        <w:pStyle w:val="ListParagraph"/>
        <w:ind w:left="1080"/>
        <w:rPr>
          <w:sz w:val="22"/>
          <w:szCs w:val="22"/>
        </w:rPr>
      </w:pPr>
      <w:r w:rsidRPr="00A13A57">
        <w:rPr>
          <w:sz w:val="22"/>
          <w:szCs w:val="22"/>
        </w:rPr>
        <w:t>• Gross volume: Approximately 3,421 m³</w:t>
      </w:r>
    </w:p>
    <w:p w14:paraId="7CC0EBA2" w14:textId="33662180" w:rsidR="00A13A57" w:rsidRPr="00A13A57" w:rsidRDefault="00A13A57" w:rsidP="00A13A57">
      <w:pPr>
        <w:pStyle w:val="ListParagraph"/>
        <w:ind w:left="1080"/>
        <w:rPr>
          <w:sz w:val="22"/>
          <w:szCs w:val="22"/>
        </w:rPr>
      </w:pPr>
      <w:r w:rsidRPr="00A13A57">
        <w:rPr>
          <w:sz w:val="22"/>
          <w:szCs w:val="22"/>
        </w:rPr>
        <w:t>• Effective working volume (assumed 80%): Approximately 2,737 m³</w:t>
      </w:r>
    </w:p>
    <w:p w14:paraId="06BFFABA" w14:textId="77777777" w:rsidR="00A13A57" w:rsidRPr="00A13A57" w:rsidRDefault="00A13A57" w:rsidP="00A13A57">
      <w:pPr>
        <w:pStyle w:val="ListParagraph"/>
        <w:ind w:left="1080"/>
        <w:rPr>
          <w:sz w:val="22"/>
          <w:szCs w:val="22"/>
        </w:rPr>
      </w:pPr>
    </w:p>
    <w:p w14:paraId="58BE9C2F" w14:textId="77777777" w:rsidR="00390D67" w:rsidRDefault="00390D67" w:rsidP="00390D67">
      <w:pPr>
        <w:pStyle w:val="ListParagraph"/>
        <w:numPr>
          <w:ilvl w:val="0"/>
          <w:numId w:val="1"/>
        </w:numPr>
        <w:rPr>
          <w:sz w:val="22"/>
          <w:szCs w:val="22"/>
        </w:rPr>
      </w:pPr>
      <w:r w:rsidRPr="00A13A57">
        <w:rPr>
          <w:sz w:val="22"/>
          <w:szCs w:val="22"/>
        </w:rPr>
        <w:t>T</w:t>
      </w:r>
      <w:r w:rsidRPr="00A13A57">
        <w:rPr>
          <w:sz w:val="22"/>
          <w:szCs w:val="22"/>
        </w:rPr>
        <w:t>wo-stage hollow-fibre membrane</w:t>
      </w:r>
      <w:r w:rsidRPr="00A13A57">
        <w:rPr>
          <w:sz w:val="22"/>
          <w:szCs w:val="22"/>
        </w:rPr>
        <w:t xml:space="preserve"> </w:t>
      </w:r>
      <w:r w:rsidR="00BC5D8D" w:rsidRPr="00A13A57">
        <w:rPr>
          <w:sz w:val="22"/>
          <w:szCs w:val="22"/>
        </w:rPr>
        <w:t>Gas filters</w:t>
      </w:r>
      <w:r w:rsidRPr="00A13A57">
        <w:rPr>
          <w:sz w:val="22"/>
          <w:szCs w:val="22"/>
        </w:rPr>
        <w:t>.</w:t>
      </w:r>
    </w:p>
    <w:p w14:paraId="6FF6DE81" w14:textId="7F78DC46" w:rsidR="00711726" w:rsidRDefault="00711726" w:rsidP="00390D67">
      <w:pPr>
        <w:pStyle w:val="ListParagraph"/>
        <w:numPr>
          <w:ilvl w:val="0"/>
          <w:numId w:val="1"/>
        </w:numPr>
        <w:rPr>
          <w:sz w:val="22"/>
          <w:szCs w:val="22"/>
        </w:rPr>
      </w:pPr>
      <w:r w:rsidRPr="00711726">
        <w:rPr>
          <w:sz w:val="22"/>
          <w:szCs w:val="22"/>
        </w:rPr>
        <w:t>Two gas holders, each having a storage capacity of 2,500 m³, in a total biogas storage capacity of 5,000 m³.</w:t>
      </w:r>
    </w:p>
    <w:p w14:paraId="6394DD49" w14:textId="436BB6B6" w:rsidR="00711726" w:rsidRPr="00A13A57" w:rsidRDefault="00711726" w:rsidP="00390D67">
      <w:pPr>
        <w:pStyle w:val="ListParagraph"/>
        <w:numPr>
          <w:ilvl w:val="0"/>
          <w:numId w:val="1"/>
        </w:numPr>
        <w:rPr>
          <w:sz w:val="22"/>
          <w:szCs w:val="22"/>
        </w:rPr>
      </w:pPr>
      <w:r>
        <w:rPr>
          <w:sz w:val="22"/>
          <w:szCs w:val="22"/>
        </w:rPr>
        <w:t>Compressor</w:t>
      </w:r>
    </w:p>
    <w:p w14:paraId="65CBAB81" w14:textId="77777777" w:rsidR="00390D67" w:rsidRPr="00A13A57" w:rsidRDefault="00CE42CF" w:rsidP="00390D67">
      <w:pPr>
        <w:pStyle w:val="ListParagraph"/>
        <w:numPr>
          <w:ilvl w:val="0"/>
          <w:numId w:val="1"/>
        </w:numPr>
        <w:rPr>
          <w:sz w:val="22"/>
          <w:szCs w:val="22"/>
        </w:rPr>
      </w:pPr>
      <w:r w:rsidRPr="00A13A57">
        <w:rPr>
          <w:sz w:val="22"/>
          <w:szCs w:val="22"/>
        </w:rPr>
        <w:t>SLS unit for Dewatering</w:t>
      </w:r>
    </w:p>
    <w:p w14:paraId="0991D09A" w14:textId="421DB7B4" w:rsidR="003371CA" w:rsidRDefault="00CE42CF" w:rsidP="00D32F74">
      <w:pPr>
        <w:pStyle w:val="ListParagraph"/>
        <w:numPr>
          <w:ilvl w:val="0"/>
          <w:numId w:val="1"/>
        </w:numPr>
        <w:rPr>
          <w:sz w:val="22"/>
          <w:szCs w:val="22"/>
        </w:rPr>
      </w:pPr>
      <w:r w:rsidRPr="00A13A57">
        <w:rPr>
          <w:sz w:val="22"/>
          <w:szCs w:val="22"/>
        </w:rPr>
        <w:t>Compost making.</w:t>
      </w:r>
    </w:p>
    <w:p w14:paraId="02338E40" w14:textId="77777777" w:rsidR="00BD1CA6" w:rsidRPr="00711726" w:rsidRDefault="00BD1CA6" w:rsidP="00BD1CA6">
      <w:pPr>
        <w:pStyle w:val="ListParagraph"/>
        <w:rPr>
          <w:sz w:val="22"/>
          <w:szCs w:val="22"/>
        </w:rPr>
      </w:pPr>
    </w:p>
    <w:p w14:paraId="4AA54984" w14:textId="77777777" w:rsidR="00B30BE2" w:rsidRDefault="00B30BE2" w:rsidP="00D32F74">
      <w:pPr>
        <w:rPr>
          <w:b/>
          <w:bCs/>
        </w:rPr>
      </w:pPr>
    </w:p>
    <w:p w14:paraId="344CD72B" w14:textId="2A3A63C2" w:rsidR="0089723C" w:rsidRDefault="0089723C" w:rsidP="00D32F74">
      <w:pPr>
        <w:rPr>
          <w:b/>
          <w:bCs/>
        </w:rPr>
      </w:pPr>
      <w:r>
        <w:rPr>
          <w:b/>
          <w:bCs/>
        </w:rPr>
        <w:lastRenderedPageBreak/>
        <w:t>Potential feedstock Sources</w:t>
      </w:r>
    </w:p>
    <w:p w14:paraId="6FD59829" w14:textId="65A3CC7C" w:rsidR="0089723C" w:rsidRPr="0089723C" w:rsidRDefault="0089723C" w:rsidP="00D32F74">
      <w:pPr>
        <w:rPr>
          <w:sz w:val="22"/>
          <w:szCs w:val="22"/>
        </w:rPr>
      </w:pPr>
      <w:r w:rsidRPr="0089723C">
        <w:rPr>
          <w:sz w:val="22"/>
          <w:szCs w:val="22"/>
        </w:rPr>
        <w:t>The waste collection will be limit under 15 KM radius so that transportation cost and time duration can be reduced</w:t>
      </w:r>
      <w:r>
        <w:rPr>
          <w:sz w:val="22"/>
          <w:szCs w:val="22"/>
        </w:rPr>
        <w:t>.</w:t>
      </w:r>
      <w:r w:rsidRPr="0089723C">
        <w:rPr>
          <w:sz w:val="22"/>
          <w:szCs w:val="22"/>
        </w:rPr>
        <w:t xml:space="preserve"> </w:t>
      </w:r>
    </w:p>
    <w:tbl>
      <w:tblPr>
        <w:tblW w:w="8480" w:type="dxa"/>
        <w:tblLook w:val="04A0" w:firstRow="1" w:lastRow="0" w:firstColumn="1" w:lastColumn="0" w:noHBand="0" w:noVBand="1"/>
      </w:tblPr>
      <w:tblGrid>
        <w:gridCol w:w="4000"/>
        <w:gridCol w:w="4480"/>
      </w:tblGrid>
      <w:tr w:rsidR="0089723C" w:rsidRPr="0089723C" w14:paraId="24D55949" w14:textId="77777777" w:rsidTr="0089723C">
        <w:trPr>
          <w:trHeight w:val="300"/>
        </w:trPr>
        <w:tc>
          <w:tcPr>
            <w:tcW w:w="4000" w:type="dxa"/>
            <w:tcBorders>
              <w:top w:val="single" w:sz="8" w:space="0" w:color="auto"/>
              <w:left w:val="single" w:sz="8" w:space="0" w:color="auto"/>
              <w:bottom w:val="single" w:sz="4" w:space="0" w:color="auto"/>
              <w:right w:val="single" w:sz="4" w:space="0" w:color="auto"/>
            </w:tcBorders>
            <w:noWrap/>
            <w:vAlign w:val="center"/>
            <w:hideMark/>
          </w:tcPr>
          <w:p w14:paraId="1B25AB5E" w14:textId="77777777" w:rsidR="0089723C" w:rsidRPr="0089723C" w:rsidRDefault="0089723C" w:rsidP="0089723C">
            <w:pPr>
              <w:spacing w:after="0" w:line="240" w:lineRule="auto"/>
              <w:jc w:val="center"/>
              <w:rPr>
                <w:rFonts w:ascii="Cambria" w:eastAsia="Times New Roman" w:hAnsi="Cambria" w:cs="Calibri"/>
                <w:b/>
                <w:bCs/>
                <w:color w:val="000000"/>
                <w:kern w:val="0"/>
                <w:sz w:val="22"/>
                <w:szCs w:val="22"/>
                <w14:ligatures w14:val="none"/>
              </w:rPr>
            </w:pPr>
            <w:r w:rsidRPr="0089723C">
              <w:rPr>
                <w:rFonts w:ascii="Cambria" w:eastAsia="Times New Roman" w:hAnsi="Cambria" w:cs="Calibri"/>
                <w:b/>
                <w:bCs/>
                <w:color w:val="000000"/>
                <w:kern w:val="0"/>
                <w:sz w:val="22"/>
                <w:szCs w:val="22"/>
                <w14:ligatures w14:val="none"/>
              </w:rPr>
              <w:t>Source Category</w:t>
            </w:r>
          </w:p>
        </w:tc>
        <w:tc>
          <w:tcPr>
            <w:tcW w:w="4480" w:type="dxa"/>
            <w:tcBorders>
              <w:top w:val="single" w:sz="8" w:space="0" w:color="auto"/>
              <w:left w:val="nil"/>
              <w:bottom w:val="single" w:sz="4" w:space="0" w:color="auto"/>
              <w:right w:val="single" w:sz="8" w:space="0" w:color="auto"/>
            </w:tcBorders>
            <w:noWrap/>
            <w:vAlign w:val="center"/>
            <w:hideMark/>
          </w:tcPr>
          <w:p w14:paraId="0F2BF7FD" w14:textId="77777777" w:rsidR="0089723C" w:rsidRPr="0089723C" w:rsidRDefault="0089723C" w:rsidP="0089723C">
            <w:pPr>
              <w:spacing w:after="0" w:line="240" w:lineRule="auto"/>
              <w:jc w:val="center"/>
              <w:rPr>
                <w:rFonts w:ascii="Cambria" w:eastAsia="Times New Roman" w:hAnsi="Cambria" w:cs="Calibri"/>
                <w:b/>
                <w:bCs/>
                <w:color w:val="000000"/>
                <w:kern w:val="0"/>
                <w:sz w:val="22"/>
                <w:szCs w:val="22"/>
                <w14:ligatures w14:val="none"/>
              </w:rPr>
            </w:pPr>
            <w:r w:rsidRPr="0089723C">
              <w:rPr>
                <w:rFonts w:ascii="Cambria" w:eastAsia="Times New Roman" w:hAnsi="Cambria" w:cs="Calibri"/>
                <w:b/>
                <w:bCs/>
                <w:color w:val="000000"/>
                <w:kern w:val="0"/>
                <w:sz w:val="22"/>
                <w:szCs w:val="22"/>
                <w14:ligatures w14:val="none"/>
              </w:rPr>
              <w:t>Potential Feedstock</w:t>
            </w:r>
          </w:p>
        </w:tc>
      </w:tr>
      <w:tr w:rsidR="0089723C" w:rsidRPr="0089723C" w14:paraId="60920FF7" w14:textId="77777777" w:rsidTr="0089723C">
        <w:trPr>
          <w:trHeight w:val="300"/>
        </w:trPr>
        <w:tc>
          <w:tcPr>
            <w:tcW w:w="4000" w:type="dxa"/>
            <w:tcBorders>
              <w:top w:val="nil"/>
              <w:left w:val="single" w:sz="8" w:space="0" w:color="auto"/>
              <w:bottom w:val="single" w:sz="4" w:space="0" w:color="auto"/>
              <w:right w:val="single" w:sz="4" w:space="0" w:color="auto"/>
            </w:tcBorders>
            <w:noWrap/>
            <w:vAlign w:val="center"/>
            <w:hideMark/>
          </w:tcPr>
          <w:p w14:paraId="27CF1E16" w14:textId="07C8F56E" w:rsidR="0089723C" w:rsidRPr="0089723C" w:rsidRDefault="0089723C" w:rsidP="0089723C">
            <w:pPr>
              <w:spacing w:after="0" w:line="240" w:lineRule="auto"/>
              <w:jc w:val="center"/>
              <w:rPr>
                <w:rFonts w:ascii="Cambria" w:eastAsia="Times New Roman" w:hAnsi="Cambria" w:cs="Calibri"/>
                <w:color w:val="000000"/>
                <w:kern w:val="0"/>
                <w:sz w:val="22"/>
                <w:szCs w:val="22"/>
                <w14:ligatures w14:val="none"/>
              </w:rPr>
            </w:pPr>
            <w:r w:rsidRPr="0089723C">
              <w:rPr>
                <w:rFonts w:ascii="Cambria" w:eastAsia="Times New Roman" w:hAnsi="Cambria" w:cs="Calibri"/>
                <w:color w:val="000000"/>
                <w:kern w:val="0"/>
                <w:sz w:val="22"/>
                <w:szCs w:val="22"/>
                <w14:ligatures w14:val="none"/>
              </w:rPr>
              <w:t>Hospital</w:t>
            </w:r>
            <w:r>
              <w:rPr>
                <w:rFonts w:ascii="Cambria" w:eastAsia="Times New Roman" w:hAnsi="Cambria" w:cs="Calibri"/>
                <w:color w:val="000000"/>
                <w:kern w:val="0"/>
                <w:sz w:val="22"/>
                <w:szCs w:val="22"/>
                <w14:ligatures w14:val="none"/>
              </w:rPr>
              <w:t>s,</w:t>
            </w:r>
            <w:r w:rsidRPr="0089723C">
              <w:rPr>
                <w:rFonts w:ascii="Cambria" w:eastAsia="Times New Roman" w:hAnsi="Cambria" w:cs="Calibri"/>
                <w:color w:val="000000"/>
                <w:kern w:val="0"/>
                <w:sz w:val="22"/>
                <w:szCs w:val="22"/>
                <w14:ligatures w14:val="none"/>
              </w:rPr>
              <w:t xml:space="preserve"> Institutional kitchens</w:t>
            </w:r>
          </w:p>
        </w:tc>
        <w:tc>
          <w:tcPr>
            <w:tcW w:w="4480" w:type="dxa"/>
            <w:tcBorders>
              <w:top w:val="nil"/>
              <w:left w:val="nil"/>
              <w:bottom w:val="single" w:sz="4" w:space="0" w:color="auto"/>
              <w:right w:val="single" w:sz="8" w:space="0" w:color="auto"/>
            </w:tcBorders>
            <w:noWrap/>
            <w:vAlign w:val="center"/>
            <w:hideMark/>
          </w:tcPr>
          <w:p w14:paraId="4FC2004B" w14:textId="77777777" w:rsidR="0089723C" w:rsidRPr="0089723C" w:rsidRDefault="0089723C" w:rsidP="0089723C">
            <w:pPr>
              <w:spacing w:after="0" w:line="240" w:lineRule="auto"/>
              <w:jc w:val="center"/>
              <w:rPr>
                <w:rFonts w:ascii="Calibri" w:eastAsia="Times New Roman" w:hAnsi="Calibri" w:cs="Calibri"/>
                <w:color w:val="000000"/>
                <w:kern w:val="0"/>
                <w:sz w:val="22"/>
                <w:szCs w:val="22"/>
                <w14:ligatures w14:val="none"/>
              </w:rPr>
            </w:pPr>
            <w:r w:rsidRPr="0089723C">
              <w:rPr>
                <w:rFonts w:ascii="Calibri" w:eastAsia="Times New Roman" w:hAnsi="Calibri" w:cs="Calibri"/>
                <w:color w:val="000000"/>
                <w:kern w:val="0"/>
                <w:sz w:val="22"/>
                <w:szCs w:val="22"/>
                <w14:ligatures w14:val="none"/>
              </w:rPr>
              <w:t>Food preparation waste and plate waste</w:t>
            </w:r>
          </w:p>
        </w:tc>
      </w:tr>
      <w:tr w:rsidR="0089723C" w:rsidRPr="0089723C" w14:paraId="30E11BC5" w14:textId="77777777" w:rsidTr="0089723C">
        <w:trPr>
          <w:trHeight w:val="300"/>
        </w:trPr>
        <w:tc>
          <w:tcPr>
            <w:tcW w:w="4000" w:type="dxa"/>
            <w:tcBorders>
              <w:top w:val="nil"/>
              <w:left w:val="single" w:sz="8" w:space="0" w:color="auto"/>
              <w:bottom w:val="single" w:sz="4" w:space="0" w:color="auto"/>
              <w:right w:val="single" w:sz="4" w:space="0" w:color="auto"/>
            </w:tcBorders>
            <w:noWrap/>
            <w:vAlign w:val="center"/>
            <w:hideMark/>
          </w:tcPr>
          <w:p w14:paraId="5E7B64F3" w14:textId="77777777" w:rsidR="0089723C" w:rsidRPr="0089723C" w:rsidRDefault="0089723C" w:rsidP="0089723C">
            <w:pPr>
              <w:spacing w:after="0" w:line="240" w:lineRule="auto"/>
              <w:jc w:val="center"/>
              <w:rPr>
                <w:rFonts w:ascii="Cambria" w:eastAsia="Times New Roman" w:hAnsi="Cambria" w:cs="Calibri"/>
                <w:color w:val="000000"/>
                <w:kern w:val="0"/>
                <w:sz w:val="22"/>
                <w:szCs w:val="22"/>
                <w14:ligatures w14:val="none"/>
              </w:rPr>
            </w:pPr>
            <w:r w:rsidRPr="0089723C">
              <w:rPr>
                <w:rFonts w:ascii="Cambria" w:eastAsia="Times New Roman" w:hAnsi="Cambria" w:cs="Calibri"/>
                <w:color w:val="000000"/>
                <w:kern w:val="0"/>
                <w:sz w:val="22"/>
                <w:szCs w:val="22"/>
                <w14:ligatures w14:val="none"/>
              </w:rPr>
              <w:t>Residential welfare associations (RWAs)</w:t>
            </w:r>
          </w:p>
        </w:tc>
        <w:tc>
          <w:tcPr>
            <w:tcW w:w="4480" w:type="dxa"/>
            <w:tcBorders>
              <w:top w:val="nil"/>
              <w:left w:val="nil"/>
              <w:bottom w:val="single" w:sz="4" w:space="0" w:color="auto"/>
              <w:right w:val="single" w:sz="8" w:space="0" w:color="auto"/>
            </w:tcBorders>
            <w:noWrap/>
            <w:vAlign w:val="center"/>
            <w:hideMark/>
          </w:tcPr>
          <w:p w14:paraId="3EDC9F89" w14:textId="77777777" w:rsidR="0089723C" w:rsidRPr="0089723C" w:rsidRDefault="0089723C" w:rsidP="0089723C">
            <w:pPr>
              <w:spacing w:after="0" w:line="240" w:lineRule="auto"/>
              <w:jc w:val="center"/>
              <w:rPr>
                <w:rFonts w:ascii="Calibri" w:eastAsia="Times New Roman" w:hAnsi="Calibri" w:cs="Calibri"/>
                <w:color w:val="000000"/>
                <w:kern w:val="0"/>
                <w:sz w:val="22"/>
                <w:szCs w:val="22"/>
                <w14:ligatures w14:val="none"/>
              </w:rPr>
            </w:pPr>
            <w:r w:rsidRPr="0089723C">
              <w:rPr>
                <w:rFonts w:ascii="Calibri" w:eastAsia="Times New Roman" w:hAnsi="Calibri" w:cs="Calibri"/>
                <w:color w:val="000000"/>
                <w:kern w:val="0"/>
                <w:sz w:val="22"/>
                <w:szCs w:val="22"/>
                <w14:ligatures w14:val="none"/>
              </w:rPr>
              <w:t>Segregated household kitchen waste</w:t>
            </w:r>
          </w:p>
        </w:tc>
      </w:tr>
      <w:tr w:rsidR="0089723C" w:rsidRPr="0089723C" w14:paraId="2693DAB9" w14:textId="77777777" w:rsidTr="0089723C">
        <w:trPr>
          <w:trHeight w:val="300"/>
        </w:trPr>
        <w:tc>
          <w:tcPr>
            <w:tcW w:w="4000" w:type="dxa"/>
            <w:tcBorders>
              <w:top w:val="nil"/>
              <w:left w:val="single" w:sz="8" w:space="0" w:color="auto"/>
              <w:bottom w:val="single" w:sz="4" w:space="0" w:color="auto"/>
              <w:right w:val="single" w:sz="4" w:space="0" w:color="auto"/>
            </w:tcBorders>
            <w:noWrap/>
            <w:vAlign w:val="center"/>
            <w:hideMark/>
          </w:tcPr>
          <w:p w14:paraId="46F3159B" w14:textId="77777777" w:rsidR="0089723C" w:rsidRPr="0089723C" w:rsidRDefault="0089723C" w:rsidP="0089723C">
            <w:pPr>
              <w:spacing w:after="0" w:line="240" w:lineRule="auto"/>
              <w:jc w:val="center"/>
              <w:rPr>
                <w:rFonts w:ascii="Cambria" w:eastAsia="Times New Roman" w:hAnsi="Cambria" w:cs="Calibri"/>
                <w:color w:val="000000"/>
                <w:kern w:val="0"/>
                <w:sz w:val="22"/>
                <w:szCs w:val="22"/>
                <w14:ligatures w14:val="none"/>
              </w:rPr>
            </w:pPr>
            <w:r w:rsidRPr="0089723C">
              <w:rPr>
                <w:rFonts w:ascii="Cambria" w:eastAsia="Times New Roman" w:hAnsi="Cambria" w:cs="Calibri"/>
                <w:color w:val="000000"/>
                <w:kern w:val="0"/>
                <w:sz w:val="22"/>
                <w:szCs w:val="22"/>
                <w14:ligatures w14:val="none"/>
              </w:rPr>
              <w:t>Hotels and restaurants</w:t>
            </w:r>
          </w:p>
        </w:tc>
        <w:tc>
          <w:tcPr>
            <w:tcW w:w="4480" w:type="dxa"/>
            <w:tcBorders>
              <w:top w:val="nil"/>
              <w:left w:val="nil"/>
              <w:bottom w:val="single" w:sz="4" w:space="0" w:color="auto"/>
              <w:right w:val="single" w:sz="8" w:space="0" w:color="auto"/>
            </w:tcBorders>
            <w:noWrap/>
            <w:vAlign w:val="center"/>
            <w:hideMark/>
          </w:tcPr>
          <w:p w14:paraId="7690A842" w14:textId="77777777" w:rsidR="0089723C" w:rsidRPr="0089723C" w:rsidRDefault="0089723C" w:rsidP="0089723C">
            <w:pPr>
              <w:spacing w:after="0" w:line="240" w:lineRule="auto"/>
              <w:jc w:val="center"/>
              <w:rPr>
                <w:rFonts w:ascii="Cambria" w:eastAsia="Times New Roman" w:hAnsi="Cambria" w:cs="Calibri"/>
                <w:color w:val="000000"/>
                <w:kern w:val="0"/>
                <w:sz w:val="22"/>
                <w:szCs w:val="22"/>
                <w14:ligatures w14:val="none"/>
              </w:rPr>
            </w:pPr>
            <w:r w:rsidRPr="0089723C">
              <w:rPr>
                <w:rFonts w:ascii="Cambria" w:eastAsia="Times New Roman" w:hAnsi="Cambria" w:cs="Calibri"/>
                <w:color w:val="000000"/>
                <w:kern w:val="0"/>
                <w:sz w:val="22"/>
                <w:szCs w:val="22"/>
                <w14:ligatures w14:val="none"/>
              </w:rPr>
              <w:t>Food scraps and biodegradable kitchen waste</w:t>
            </w:r>
          </w:p>
        </w:tc>
      </w:tr>
      <w:tr w:rsidR="0089723C" w:rsidRPr="0089723C" w14:paraId="55969D09" w14:textId="77777777" w:rsidTr="0089723C">
        <w:trPr>
          <w:trHeight w:val="300"/>
        </w:trPr>
        <w:tc>
          <w:tcPr>
            <w:tcW w:w="4000" w:type="dxa"/>
            <w:tcBorders>
              <w:top w:val="nil"/>
              <w:left w:val="single" w:sz="8" w:space="0" w:color="auto"/>
              <w:bottom w:val="single" w:sz="4" w:space="0" w:color="auto"/>
              <w:right w:val="single" w:sz="4" w:space="0" w:color="auto"/>
            </w:tcBorders>
            <w:noWrap/>
            <w:vAlign w:val="center"/>
            <w:hideMark/>
          </w:tcPr>
          <w:p w14:paraId="113AB0AB" w14:textId="77777777" w:rsidR="0089723C" w:rsidRPr="0089723C" w:rsidRDefault="0089723C" w:rsidP="0089723C">
            <w:pPr>
              <w:spacing w:after="0" w:line="240" w:lineRule="auto"/>
              <w:jc w:val="center"/>
              <w:rPr>
                <w:rFonts w:ascii="Cambria" w:eastAsia="Times New Roman" w:hAnsi="Cambria" w:cs="Calibri"/>
                <w:color w:val="000000"/>
                <w:kern w:val="0"/>
                <w:sz w:val="22"/>
                <w:szCs w:val="22"/>
                <w14:ligatures w14:val="none"/>
              </w:rPr>
            </w:pPr>
            <w:r w:rsidRPr="0089723C">
              <w:rPr>
                <w:rFonts w:ascii="Cambria" w:eastAsia="Times New Roman" w:hAnsi="Cambria" w:cs="Calibri"/>
                <w:color w:val="000000"/>
                <w:kern w:val="0"/>
                <w:sz w:val="22"/>
                <w:szCs w:val="22"/>
                <w14:ligatures w14:val="none"/>
              </w:rPr>
              <w:t>Hostels and commercial establishments</w:t>
            </w:r>
          </w:p>
        </w:tc>
        <w:tc>
          <w:tcPr>
            <w:tcW w:w="4480" w:type="dxa"/>
            <w:tcBorders>
              <w:top w:val="nil"/>
              <w:left w:val="nil"/>
              <w:bottom w:val="single" w:sz="4" w:space="0" w:color="auto"/>
              <w:right w:val="single" w:sz="8" w:space="0" w:color="auto"/>
            </w:tcBorders>
            <w:noWrap/>
            <w:vAlign w:val="center"/>
            <w:hideMark/>
          </w:tcPr>
          <w:p w14:paraId="13985236" w14:textId="77777777" w:rsidR="0089723C" w:rsidRPr="0089723C" w:rsidRDefault="0089723C" w:rsidP="0089723C">
            <w:pPr>
              <w:spacing w:after="0" w:line="240" w:lineRule="auto"/>
              <w:jc w:val="center"/>
              <w:rPr>
                <w:rFonts w:ascii="Cambria" w:eastAsia="Times New Roman" w:hAnsi="Cambria" w:cs="Calibri"/>
                <w:color w:val="000000"/>
                <w:kern w:val="0"/>
                <w:sz w:val="22"/>
                <w:szCs w:val="22"/>
                <w14:ligatures w14:val="none"/>
              </w:rPr>
            </w:pPr>
            <w:r w:rsidRPr="0089723C">
              <w:rPr>
                <w:rFonts w:ascii="Cambria" w:eastAsia="Times New Roman" w:hAnsi="Cambria" w:cs="Calibri"/>
                <w:color w:val="000000"/>
                <w:kern w:val="0"/>
                <w:sz w:val="22"/>
                <w:szCs w:val="22"/>
                <w14:ligatures w14:val="none"/>
              </w:rPr>
              <w:t>Kitchen and catering waste</w:t>
            </w:r>
          </w:p>
        </w:tc>
      </w:tr>
      <w:tr w:rsidR="0089723C" w:rsidRPr="0089723C" w14:paraId="06FA1A91" w14:textId="77777777" w:rsidTr="0089723C">
        <w:trPr>
          <w:trHeight w:val="300"/>
        </w:trPr>
        <w:tc>
          <w:tcPr>
            <w:tcW w:w="4000" w:type="dxa"/>
            <w:tcBorders>
              <w:top w:val="nil"/>
              <w:left w:val="single" w:sz="8" w:space="0" w:color="auto"/>
              <w:bottom w:val="single" w:sz="4" w:space="0" w:color="auto"/>
              <w:right w:val="single" w:sz="4" w:space="0" w:color="auto"/>
            </w:tcBorders>
            <w:noWrap/>
            <w:vAlign w:val="center"/>
            <w:hideMark/>
          </w:tcPr>
          <w:p w14:paraId="0E133DAF" w14:textId="77777777" w:rsidR="0089723C" w:rsidRPr="0089723C" w:rsidRDefault="0089723C" w:rsidP="0089723C">
            <w:pPr>
              <w:spacing w:after="0" w:line="240" w:lineRule="auto"/>
              <w:jc w:val="center"/>
              <w:rPr>
                <w:rFonts w:ascii="Cambria" w:eastAsia="Times New Roman" w:hAnsi="Cambria" w:cs="Calibri"/>
                <w:color w:val="000000"/>
                <w:kern w:val="0"/>
                <w:sz w:val="22"/>
                <w:szCs w:val="22"/>
                <w14:ligatures w14:val="none"/>
              </w:rPr>
            </w:pPr>
            <w:r w:rsidRPr="0089723C">
              <w:rPr>
                <w:rFonts w:ascii="Cambria" w:eastAsia="Times New Roman" w:hAnsi="Cambria" w:cs="Calibri"/>
                <w:color w:val="000000"/>
                <w:kern w:val="0"/>
                <w:sz w:val="22"/>
                <w:szCs w:val="22"/>
                <w14:ligatures w14:val="none"/>
              </w:rPr>
              <w:t xml:space="preserve">Other bulk waste generators </w:t>
            </w:r>
          </w:p>
        </w:tc>
        <w:tc>
          <w:tcPr>
            <w:tcW w:w="4480" w:type="dxa"/>
            <w:tcBorders>
              <w:top w:val="nil"/>
              <w:left w:val="nil"/>
              <w:bottom w:val="single" w:sz="4" w:space="0" w:color="auto"/>
              <w:right w:val="single" w:sz="8" w:space="0" w:color="auto"/>
            </w:tcBorders>
            <w:noWrap/>
            <w:vAlign w:val="center"/>
            <w:hideMark/>
          </w:tcPr>
          <w:p w14:paraId="13322D22" w14:textId="77777777" w:rsidR="0089723C" w:rsidRPr="0089723C" w:rsidRDefault="0089723C" w:rsidP="0089723C">
            <w:pPr>
              <w:spacing w:after="0" w:line="240" w:lineRule="auto"/>
              <w:jc w:val="center"/>
              <w:rPr>
                <w:rFonts w:ascii="Calibri" w:eastAsia="Times New Roman" w:hAnsi="Calibri" w:cs="Calibri"/>
                <w:color w:val="000000"/>
                <w:kern w:val="0"/>
                <w:sz w:val="22"/>
                <w:szCs w:val="22"/>
                <w14:ligatures w14:val="none"/>
              </w:rPr>
            </w:pPr>
            <w:r w:rsidRPr="0089723C">
              <w:rPr>
                <w:rFonts w:ascii="Calibri" w:eastAsia="Times New Roman" w:hAnsi="Calibri" w:cs="Calibri"/>
                <w:color w:val="000000"/>
                <w:kern w:val="0"/>
                <w:sz w:val="22"/>
                <w:szCs w:val="22"/>
                <w14:ligatures w14:val="none"/>
              </w:rPr>
              <w:t>Segregated biodegradable organic waste</w:t>
            </w:r>
          </w:p>
        </w:tc>
      </w:tr>
      <w:tr w:rsidR="0089723C" w:rsidRPr="0089723C" w14:paraId="6CBAA7F6" w14:textId="77777777" w:rsidTr="0089723C">
        <w:trPr>
          <w:trHeight w:val="300"/>
        </w:trPr>
        <w:tc>
          <w:tcPr>
            <w:tcW w:w="4000" w:type="dxa"/>
            <w:tcBorders>
              <w:top w:val="nil"/>
              <w:left w:val="single" w:sz="8" w:space="0" w:color="auto"/>
              <w:bottom w:val="single" w:sz="4" w:space="0" w:color="auto"/>
              <w:right w:val="single" w:sz="4" w:space="0" w:color="auto"/>
            </w:tcBorders>
            <w:noWrap/>
            <w:vAlign w:val="center"/>
            <w:hideMark/>
          </w:tcPr>
          <w:p w14:paraId="43D9DC68" w14:textId="77777777" w:rsidR="0089723C" w:rsidRPr="0089723C" w:rsidRDefault="0089723C" w:rsidP="0089723C">
            <w:pPr>
              <w:spacing w:after="0" w:line="240" w:lineRule="auto"/>
              <w:jc w:val="center"/>
              <w:rPr>
                <w:rFonts w:ascii="Cambria" w:eastAsia="Times New Roman" w:hAnsi="Cambria" w:cs="Calibri"/>
                <w:color w:val="000000"/>
                <w:kern w:val="0"/>
                <w:sz w:val="22"/>
                <w:szCs w:val="22"/>
                <w14:ligatures w14:val="none"/>
              </w:rPr>
            </w:pPr>
            <w:r w:rsidRPr="0089723C">
              <w:rPr>
                <w:rFonts w:ascii="Cambria" w:eastAsia="Times New Roman" w:hAnsi="Cambria" w:cs="Calibri"/>
                <w:color w:val="000000"/>
                <w:kern w:val="0"/>
                <w:sz w:val="22"/>
                <w:szCs w:val="22"/>
                <w14:ligatures w14:val="none"/>
              </w:rPr>
              <w:t>House hold Cattle and Gaushala</w:t>
            </w:r>
          </w:p>
        </w:tc>
        <w:tc>
          <w:tcPr>
            <w:tcW w:w="4480" w:type="dxa"/>
            <w:tcBorders>
              <w:top w:val="nil"/>
              <w:left w:val="nil"/>
              <w:bottom w:val="single" w:sz="4" w:space="0" w:color="auto"/>
              <w:right w:val="single" w:sz="8" w:space="0" w:color="auto"/>
            </w:tcBorders>
            <w:noWrap/>
            <w:vAlign w:val="center"/>
            <w:hideMark/>
          </w:tcPr>
          <w:p w14:paraId="17E9504F" w14:textId="77777777" w:rsidR="0089723C" w:rsidRPr="0089723C" w:rsidRDefault="0089723C" w:rsidP="0089723C">
            <w:pPr>
              <w:spacing w:after="0" w:line="240" w:lineRule="auto"/>
              <w:jc w:val="center"/>
              <w:rPr>
                <w:rFonts w:ascii="Calibri" w:eastAsia="Times New Roman" w:hAnsi="Calibri" w:cs="Calibri"/>
                <w:color w:val="000000"/>
                <w:kern w:val="0"/>
                <w:sz w:val="22"/>
                <w:szCs w:val="22"/>
                <w14:ligatures w14:val="none"/>
              </w:rPr>
            </w:pPr>
            <w:r w:rsidRPr="0089723C">
              <w:rPr>
                <w:rFonts w:ascii="Calibri" w:eastAsia="Times New Roman" w:hAnsi="Calibri" w:cs="Calibri"/>
                <w:color w:val="000000"/>
                <w:kern w:val="0"/>
                <w:sz w:val="22"/>
                <w:szCs w:val="22"/>
                <w14:ligatures w14:val="none"/>
              </w:rPr>
              <w:t xml:space="preserve">Cattle manure and urine </w:t>
            </w:r>
          </w:p>
        </w:tc>
      </w:tr>
      <w:tr w:rsidR="0089723C" w:rsidRPr="0089723C" w14:paraId="4C3BCB87" w14:textId="77777777" w:rsidTr="0089723C">
        <w:trPr>
          <w:trHeight w:val="315"/>
        </w:trPr>
        <w:tc>
          <w:tcPr>
            <w:tcW w:w="4000" w:type="dxa"/>
            <w:tcBorders>
              <w:top w:val="nil"/>
              <w:left w:val="single" w:sz="8" w:space="0" w:color="auto"/>
              <w:bottom w:val="single" w:sz="8" w:space="0" w:color="auto"/>
              <w:right w:val="single" w:sz="4" w:space="0" w:color="auto"/>
            </w:tcBorders>
            <w:noWrap/>
            <w:vAlign w:val="center"/>
            <w:hideMark/>
          </w:tcPr>
          <w:p w14:paraId="4FCA6A39" w14:textId="5331FB05" w:rsidR="0089723C" w:rsidRPr="0089723C" w:rsidRDefault="0089723C" w:rsidP="0089723C">
            <w:pPr>
              <w:spacing w:after="0" w:line="240" w:lineRule="auto"/>
              <w:jc w:val="center"/>
              <w:rPr>
                <w:rFonts w:ascii="Cambria" w:eastAsia="Times New Roman" w:hAnsi="Cambria" w:cs="Calibri"/>
                <w:color w:val="000000"/>
                <w:kern w:val="0"/>
                <w:sz w:val="22"/>
                <w:szCs w:val="22"/>
                <w14:ligatures w14:val="none"/>
              </w:rPr>
            </w:pPr>
            <w:r w:rsidRPr="0089723C">
              <w:rPr>
                <w:rFonts w:ascii="Cambria" w:eastAsia="Times New Roman" w:hAnsi="Cambria" w:cs="Calibri"/>
                <w:color w:val="000000"/>
                <w:kern w:val="0"/>
                <w:sz w:val="22"/>
                <w:szCs w:val="22"/>
                <w14:ligatures w14:val="none"/>
              </w:rPr>
              <w:t xml:space="preserve">Other carbon </w:t>
            </w:r>
            <w:r w:rsidRPr="0089723C">
              <w:rPr>
                <w:rFonts w:ascii="Cambria" w:eastAsia="Times New Roman" w:hAnsi="Cambria" w:cs="Calibri"/>
                <w:color w:val="000000"/>
                <w:kern w:val="0"/>
                <w:sz w:val="22"/>
                <w:szCs w:val="22"/>
                <w14:ligatures w14:val="none"/>
              </w:rPr>
              <w:t>Sources</w:t>
            </w:r>
          </w:p>
        </w:tc>
        <w:tc>
          <w:tcPr>
            <w:tcW w:w="4480" w:type="dxa"/>
            <w:tcBorders>
              <w:top w:val="nil"/>
              <w:left w:val="nil"/>
              <w:bottom w:val="single" w:sz="8" w:space="0" w:color="auto"/>
              <w:right w:val="single" w:sz="8" w:space="0" w:color="auto"/>
            </w:tcBorders>
            <w:noWrap/>
            <w:vAlign w:val="center"/>
            <w:hideMark/>
          </w:tcPr>
          <w:p w14:paraId="2359EF3D" w14:textId="77777777" w:rsidR="0089723C" w:rsidRPr="0089723C" w:rsidRDefault="0089723C" w:rsidP="0089723C">
            <w:pPr>
              <w:spacing w:after="0" w:line="240" w:lineRule="auto"/>
              <w:jc w:val="center"/>
              <w:rPr>
                <w:rFonts w:ascii="Calibri" w:eastAsia="Times New Roman" w:hAnsi="Calibri" w:cs="Calibri"/>
                <w:color w:val="000000"/>
                <w:kern w:val="0"/>
                <w:sz w:val="22"/>
                <w:szCs w:val="22"/>
                <w14:ligatures w14:val="none"/>
              </w:rPr>
            </w:pPr>
            <w:r w:rsidRPr="0089723C">
              <w:rPr>
                <w:rFonts w:ascii="Calibri" w:eastAsia="Times New Roman" w:hAnsi="Calibri" w:cs="Calibri"/>
                <w:color w:val="000000"/>
                <w:kern w:val="0"/>
                <w:sz w:val="22"/>
                <w:szCs w:val="22"/>
                <w14:ligatures w14:val="none"/>
              </w:rPr>
              <w:t>Horticulture waste/farm waste</w:t>
            </w:r>
          </w:p>
        </w:tc>
      </w:tr>
    </w:tbl>
    <w:p w14:paraId="511F798C" w14:textId="77777777" w:rsidR="0089723C" w:rsidRDefault="0089723C" w:rsidP="00D32F74">
      <w:pPr>
        <w:rPr>
          <w:b/>
          <w:bCs/>
        </w:rPr>
      </w:pPr>
    </w:p>
    <w:p w14:paraId="37050B66" w14:textId="105C93F8" w:rsidR="00B30BE2" w:rsidRDefault="00B30BE2" w:rsidP="00D32F74">
      <w:pPr>
        <w:rPr>
          <w:b/>
          <w:bCs/>
        </w:rPr>
      </w:pPr>
      <w:r>
        <w:rPr>
          <w:b/>
          <w:bCs/>
        </w:rPr>
        <w:t xml:space="preserve">Summary </w:t>
      </w:r>
    </w:p>
    <w:p w14:paraId="68F0C0EC" w14:textId="3DFDE9E7" w:rsidR="00B30BE2" w:rsidRPr="00CB54C6" w:rsidRDefault="00B30BE2" w:rsidP="00D32F74">
      <w:pPr>
        <w:rPr>
          <w:sz w:val="22"/>
          <w:szCs w:val="22"/>
        </w:rPr>
      </w:pPr>
      <w:r w:rsidRPr="00B30BE2">
        <w:rPr>
          <w:sz w:val="22"/>
          <w:szCs w:val="22"/>
        </w:rPr>
        <w:t>The proposed 3</w:t>
      </w:r>
      <w:r>
        <w:rPr>
          <w:sz w:val="22"/>
          <w:szCs w:val="22"/>
        </w:rPr>
        <w:t>.5</w:t>
      </w:r>
      <w:r w:rsidRPr="00B30BE2">
        <w:rPr>
          <w:sz w:val="22"/>
          <w:szCs w:val="22"/>
        </w:rPr>
        <w:t xml:space="preserve"> TPD biomethane project represents an opportunity to integrate urban organic waste management with renewable energy generation. By utilizing segregated kitchen waste from bulk waste generators and supplying upgraded biomethane to the IGL city gas network, the project aims to support sustainable waste utilization, reduce dependence on conventional fossil fuels, and promote circular economy practices. Its ultimate technical and financial viability will depend on reliable feedstock supply, efficient plant operation, compliance with gas quality requirements, grid connectivity, and commercially viable offtake arrangements.</w:t>
      </w:r>
    </w:p>
    <w:p w14:paraId="491F9FB3" w14:textId="44877794" w:rsidR="00D32F74" w:rsidRPr="005A4EEC" w:rsidRDefault="00B30BE2" w:rsidP="00D32F74">
      <w:pPr>
        <w:rPr>
          <w:b/>
          <w:bCs/>
        </w:rPr>
      </w:pPr>
      <w:r w:rsidRPr="00B30BE2">
        <w:rPr>
          <w:color w:val="000000" w:themeColor="text1"/>
        </w:rPr>
        <w:drawing>
          <wp:inline distT="0" distB="0" distL="0" distR="0" wp14:anchorId="31E23E7F" wp14:editId="2D206C52">
            <wp:extent cx="5731510" cy="3182112"/>
            <wp:effectExtent l="0" t="0" r="2540" b="0"/>
            <wp:docPr id="5416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2443" name=""/>
                    <pic:cNvPicPr/>
                  </pic:nvPicPr>
                  <pic:blipFill>
                    <a:blip r:embed="rId5"/>
                    <a:stretch>
                      <a:fillRect/>
                    </a:stretch>
                  </pic:blipFill>
                  <pic:spPr>
                    <a:xfrm>
                      <a:off x="0" y="0"/>
                      <a:ext cx="5733270" cy="3183089"/>
                    </a:xfrm>
                    <a:prstGeom prst="rect">
                      <a:avLst/>
                    </a:prstGeom>
                  </pic:spPr>
                </pic:pic>
              </a:graphicData>
            </a:graphic>
          </wp:inline>
        </w:drawing>
      </w:r>
    </w:p>
    <w:p w14:paraId="21CBC9BF" w14:textId="234AB0C7" w:rsidR="001419D4" w:rsidRDefault="001419D4" w:rsidP="00D32F74">
      <w:pPr>
        <w:rPr>
          <w:color w:val="000000" w:themeColor="text1"/>
        </w:rPr>
      </w:pPr>
    </w:p>
    <w:p w14:paraId="45CC93E8" w14:textId="060AE1EB" w:rsidR="0089723C" w:rsidRDefault="0089723C" w:rsidP="00D32F74">
      <w:pPr>
        <w:rPr>
          <w:color w:val="000000" w:themeColor="text1"/>
        </w:rPr>
      </w:pPr>
      <w:r>
        <w:rPr>
          <w:color w:val="000000" w:themeColor="text1"/>
        </w:rPr>
        <w:lastRenderedPageBreak/>
        <w:t>As per below chat we can understand by using a Food waste as a feedstock for Biogas digestor the out come will be very high (Biogas and Compost) in comparison with other sources.</w:t>
      </w:r>
    </w:p>
    <w:p w14:paraId="50D56743" w14:textId="515F0841" w:rsidR="00B30BE2" w:rsidRPr="00E03326" w:rsidRDefault="00B30BE2" w:rsidP="00D32F74">
      <w:pPr>
        <w:rPr>
          <w:color w:val="000000" w:themeColor="text1"/>
        </w:rPr>
      </w:pPr>
      <w:r w:rsidRPr="00B30BE2">
        <w:rPr>
          <w:color w:val="000000" w:themeColor="text1"/>
        </w:rPr>
        <w:drawing>
          <wp:inline distT="0" distB="0" distL="0" distR="0" wp14:anchorId="7770A139" wp14:editId="3F876BB2">
            <wp:extent cx="5244998" cy="4176395"/>
            <wp:effectExtent l="0" t="0" r="0" b="0"/>
            <wp:docPr id="146996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65542" name=""/>
                    <pic:cNvPicPr/>
                  </pic:nvPicPr>
                  <pic:blipFill>
                    <a:blip r:embed="rId6"/>
                    <a:stretch>
                      <a:fillRect/>
                    </a:stretch>
                  </pic:blipFill>
                  <pic:spPr>
                    <a:xfrm>
                      <a:off x="0" y="0"/>
                      <a:ext cx="5254299" cy="4183801"/>
                    </a:xfrm>
                    <a:prstGeom prst="rect">
                      <a:avLst/>
                    </a:prstGeom>
                  </pic:spPr>
                </pic:pic>
              </a:graphicData>
            </a:graphic>
          </wp:inline>
        </w:drawing>
      </w:r>
    </w:p>
    <w:sectPr w:rsidR="00B30BE2" w:rsidRPr="00E03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D4AC5"/>
    <w:multiLevelType w:val="hybridMultilevel"/>
    <w:tmpl w:val="1054A68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9A1FD5"/>
    <w:multiLevelType w:val="hybridMultilevel"/>
    <w:tmpl w:val="CCB843C6"/>
    <w:lvl w:ilvl="0" w:tplc="83500A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699237396">
    <w:abstractNumId w:val="0"/>
  </w:num>
  <w:num w:numId="2" w16cid:durableId="77483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110"/>
    <w:rsid w:val="0000592C"/>
    <w:rsid w:val="000102F9"/>
    <w:rsid w:val="00055E34"/>
    <w:rsid w:val="0006165C"/>
    <w:rsid w:val="000D3B4B"/>
    <w:rsid w:val="00121188"/>
    <w:rsid w:val="001335D2"/>
    <w:rsid w:val="001419D4"/>
    <w:rsid w:val="001C0E37"/>
    <w:rsid w:val="00216488"/>
    <w:rsid w:val="00237F72"/>
    <w:rsid w:val="00240E6B"/>
    <w:rsid w:val="00291AED"/>
    <w:rsid w:val="002962DF"/>
    <w:rsid w:val="002D0EA1"/>
    <w:rsid w:val="002D2DC8"/>
    <w:rsid w:val="002D59E6"/>
    <w:rsid w:val="00330110"/>
    <w:rsid w:val="003371CA"/>
    <w:rsid w:val="00383F25"/>
    <w:rsid w:val="00390D67"/>
    <w:rsid w:val="003A1899"/>
    <w:rsid w:val="003B3DD7"/>
    <w:rsid w:val="003C485D"/>
    <w:rsid w:val="004436A6"/>
    <w:rsid w:val="00476A8B"/>
    <w:rsid w:val="0050344D"/>
    <w:rsid w:val="0050660F"/>
    <w:rsid w:val="005466C6"/>
    <w:rsid w:val="005A4EEC"/>
    <w:rsid w:val="00646A23"/>
    <w:rsid w:val="00674A91"/>
    <w:rsid w:val="006F14B7"/>
    <w:rsid w:val="007044EA"/>
    <w:rsid w:val="00711726"/>
    <w:rsid w:val="00763068"/>
    <w:rsid w:val="00797D38"/>
    <w:rsid w:val="007D25D3"/>
    <w:rsid w:val="007E3AEC"/>
    <w:rsid w:val="0085210F"/>
    <w:rsid w:val="0087111F"/>
    <w:rsid w:val="008820E9"/>
    <w:rsid w:val="00893A35"/>
    <w:rsid w:val="0089723C"/>
    <w:rsid w:val="008C6AB0"/>
    <w:rsid w:val="009056FE"/>
    <w:rsid w:val="0092199B"/>
    <w:rsid w:val="009233BE"/>
    <w:rsid w:val="00945131"/>
    <w:rsid w:val="0099346A"/>
    <w:rsid w:val="00A13A57"/>
    <w:rsid w:val="00A704CB"/>
    <w:rsid w:val="00AB38D7"/>
    <w:rsid w:val="00AC3E54"/>
    <w:rsid w:val="00AE38CD"/>
    <w:rsid w:val="00AF6944"/>
    <w:rsid w:val="00B30BE2"/>
    <w:rsid w:val="00B37846"/>
    <w:rsid w:val="00B52AB6"/>
    <w:rsid w:val="00B53E5C"/>
    <w:rsid w:val="00B76BC9"/>
    <w:rsid w:val="00BA79BC"/>
    <w:rsid w:val="00BC5D8D"/>
    <w:rsid w:val="00BD1CA6"/>
    <w:rsid w:val="00C23576"/>
    <w:rsid w:val="00C27005"/>
    <w:rsid w:val="00C27B5A"/>
    <w:rsid w:val="00C470D7"/>
    <w:rsid w:val="00C563D3"/>
    <w:rsid w:val="00C92E67"/>
    <w:rsid w:val="00CA2C2D"/>
    <w:rsid w:val="00CB54C6"/>
    <w:rsid w:val="00CE42CF"/>
    <w:rsid w:val="00D171CC"/>
    <w:rsid w:val="00D32F74"/>
    <w:rsid w:val="00DF0099"/>
    <w:rsid w:val="00E03326"/>
    <w:rsid w:val="00E20DD8"/>
    <w:rsid w:val="00E70D8F"/>
    <w:rsid w:val="00EF5F17"/>
    <w:rsid w:val="00F049CD"/>
    <w:rsid w:val="00F13E6E"/>
    <w:rsid w:val="00F70040"/>
    <w:rsid w:val="00F76CD2"/>
    <w:rsid w:val="00FC6451"/>
  </w:rsids>
  <m:mathPr>
    <m:mathFont m:val="Cambria Math"/>
    <m:brkBin m:val="before"/>
    <m:brkBinSub m:val="--"/>
    <m:smallFrac m:val="0"/>
    <m:dispDef/>
    <m:lMargin m:val="0"/>
    <m:rMargin m:val="0"/>
    <m:defJc m:val="centerGroup"/>
    <m:wrapIndent m:val="1440"/>
    <m:intLim m:val="subSup"/>
    <m:naryLim m:val="undOvr"/>
  </m:mathPr>
  <w:themeFontLang w:val="en-IN"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E58A8"/>
  <w15:chartTrackingRefBased/>
  <w15:docId w15:val="{D1EA1249-503E-4E2D-9D33-27C683E2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ko-KR"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EEC"/>
  </w:style>
  <w:style w:type="paragraph" w:styleId="Heading1">
    <w:name w:val="heading 1"/>
    <w:basedOn w:val="Normal"/>
    <w:next w:val="Normal"/>
    <w:link w:val="Heading1Char"/>
    <w:uiPriority w:val="9"/>
    <w:qFormat/>
    <w:rsid w:val="0033011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3011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3011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30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11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301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3011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30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110"/>
    <w:rPr>
      <w:rFonts w:eastAsiaTheme="majorEastAsia" w:cstheme="majorBidi"/>
      <w:color w:val="272727" w:themeColor="text1" w:themeTint="D8"/>
    </w:rPr>
  </w:style>
  <w:style w:type="paragraph" w:styleId="Title">
    <w:name w:val="Title"/>
    <w:basedOn w:val="Normal"/>
    <w:next w:val="Normal"/>
    <w:link w:val="TitleChar"/>
    <w:uiPriority w:val="10"/>
    <w:qFormat/>
    <w:rsid w:val="0033011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3011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3011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3011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30110"/>
    <w:pPr>
      <w:spacing w:before="160"/>
      <w:jc w:val="center"/>
    </w:pPr>
    <w:rPr>
      <w:i/>
      <w:iCs/>
      <w:color w:val="404040" w:themeColor="text1" w:themeTint="BF"/>
    </w:rPr>
  </w:style>
  <w:style w:type="character" w:customStyle="1" w:styleId="QuoteChar">
    <w:name w:val="Quote Char"/>
    <w:basedOn w:val="DefaultParagraphFont"/>
    <w:link w:val="Quote"/>
    <w:uiPriority w:val="29"/>
    <w:rsid w:val="00330110"/>
    <w:rPr>
      <w:i/>
      <w:iCs/>
      <w:color w:val="404040" w:themeColor="text1" w:themeTint="BF"/>
    </w:rPr>
  </w:style>
  <w:style w:type="paragraph" w:styleId="ListParagraph">
    <w:name w:val="List Paragraph"/>
    <w:basedOn w:val="Normal"/>
    <w:uiPriority w:val="34"/>
    <w:qFormat/>
    <w:rsid w:val="00330110"/>
    <w:pPr>
      <w:ind w:left="720"/>
      <w:contextualSpacing/>
    </w:pPr>
  </w:style>
  <w:style w:type="character" w:styleId="IntenseEmphasis">
    <w:name w:val="Intense Emphasis"/>
    <w:basedOn w:val="DefaultParagraphFont"/>
    <w:uiPriority w:val="21"/>
    <w:qFormat/>
    <w:rsid w:val="00330110"/>
    <w:rPr>
      <w:i/>
      <w:iCs/>
      <w:color w:val="2F5496" w:themeColor="accent1" w:themeShade="BF"/>
    </w:rPr>
  </w:style>
  <w:style w:type="paragraph" w:styleId="IntenseQuote">
    <w:name w:val="Intense Quote"/>
    <w:basedOn w:val="Normal"/>
    <w:next w:val="Normal"/>
    <w:link w:val="IntenseQuoteChar"/>
    <w:uiPriority w:val="30"/>
    <w:qFormat/>
    <w:rsid w:val="00330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110"/>
    <w:rPr>
      <w:i/>
      <w:iCs/>
      <w:color w:val="2F5496" w:themeColor="accent1" w:themeShade="BF"/>
    </w:rPr>
  </w:style>
  <w:style w:type="character" w:styleId="IntenseReference">
    <w:name w:val="Intense Reference"/>
    <w:basedOn w:val="DefaultParagraphFont"/>
    <w:uiPriority w:val="32"/>
    <w:qFormat/>
    <w:rsid w:val="003301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577226">
      <w:bodyDiv w:val="1"/>
      <w:marLeft w:val="0"/>
      <w:marRight w:val="0"/>
      <w:marTop w:val="0"/>
      <w:marBottom w:val="0"/>
      <w:divBdr>
        <w:top w:val="none" w:sz="0" w:space="0" w:color="auto"/>
        <w:left w:val="none" w:sz="0" w:space="0" w:color="auto"/>
        <w:bottom w:val="none" w:sz="0" w:space="0" w:color="auto"/>
        <w:right w:val="none" w:sz="0" w:space="0" w:color="auto"/>
      </w:divBdr>
      <w:divsChild>
        <w:div w:id="1048721346">
          <w:marLeft w:val="0"/>
          <w:marRight w:val="0"/>
          <w:marTop w:val="0"/>
          <w:marBottom w:val="0"/>
          <w:divBdr>
            <w:top w:val="none" w:sz="0" w:space="0" w:color="auto"/>
            <w:left w:val="none" w:sz="0" w:space="0" w:color="auto"/>
            <w:bottom w:val="none" w:sz="0" w:space="0" w:color="auto"/>
            <w:right w:val="none" w:sz="0" w:space="0" w:color="auto"/>
          </w:divBdr>
          <w:divsChild>
            <w:div w:id="8038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Naina Yadav</dc:creator>
  <cp:keywords/>
  <dc:description/>
  <cp:lastModifiedBy>Naina Yadav</cp:lastModifiedBy>
  <cp:revision>7</cp:revision>
  <dcterms:created xsi:type="dcterms:W3CDTF">2026-10-21T06:10:00Z</dcterms:created>
  <dcterms:modified xsi:type="dcterms:W3CDTF">2026-10-21T07:02:00Z</dcterms:modified>
</cp:coreProperties>
</file>