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rPr>
          <w:b/>
          <w:color w:val="0066CC"/>
          <w:sz w:val="36"/>
        </w:rPr>
        <w:t>Credit Bureau Integration — CIBIL TransUnion</w:t>
      </w:r>
    </w:p>
    <w:p>
      <w:pPr>
        <w:jc w:val="center"/>
      </w:pPr>
      <w:r>
        <w:rPr>
          <w:sz w:val="22"/>
        </w:rPr>
        <w:t>Project: LendFlow Digital Lending Platform</w:t>
        <w:br/>
      </w:r>
      <w:r>
        <w:rPr>
          <w:sz w:val="22"/>
        </w:rPr>
        <w:t>Version: 2.1  |  Date: March 2026</w:t>
        <w:br/>
      </w:r>
      <w:r>
        <w:rPr>
          <w:sz w:val="22"/>
        </w:rPr>
        <w:t>Classification: CONFIDENTIAL</w:t>
        <w:br/>
      </w:r>
      <w:r>
        <w:rPr>
          <w:sz w:val="22"/>
        </w:rPr>
        <w:t>Author: Integration Engineering Team</w:t>
        <w:br/>
      </w:r>
      <w:r>
        <w:rPr>
          <w:sz w:val="22"/>
        </w:rPr>
        <w:t>Approver: VP of Technology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Integration Requirements</w:t>
      </w:r>
    </w:p>
    <w:p>
      <w:r>
        <w:t xml:space="preserve">  2.1 API Endpoints</w:t>
      </w:r>
    </w:p>
    <w:p>
      <w:r>
        <w:t xml:space="preserve">  2.2 Field Mappings</w:t>
      </w:r>
    </w:p>
    <w:p>
      <w:r>
        <w:t xml:space="preserve">  2.3 Response Handling</w:t>
      </w:r>
    </w:p>
    <w:p>
      <w:r>
        <w:t>3. Authentication Requirements</w:t>
      </w:r>
    </w:p>
    <w:p>
      <w:r>
        <w:t xml:space="preserve">  3.1 Credential Management</w:t>
      </w:r>
    </w:p>
    <w:p>
      <w:r>
        <w:t xml:space="preserve">  3.2 OAuth2 Migration (v2)</w:t>
      </w:r>
    </w:p>
    <w:p>
      <w:r>
        <w:t>4. Security Requirements</w:t>
      </w:r>
    </w:p>
    <w:p>
      <w:r>
        <w:t>5. SLA Requirements</w:t>
      </w:r>
    </w:p>
    <w:p>
      <w:r>
        <w:t xml:space="preserve">  5.1 Performance Targets</w:t>
      </w:r>
    </w:p>
    <w:p>
      <w:r>
        <w:t xml:space="preserve">  5.2 Retry &amp; Fallback Policy</w:t>
      </w:r>
    </w:p>
    <w:p>
      <w:r>
        <w:t>6. Data Transformation Rules</w:t>
      </w:r>
    </w:p>
    <w:p>
      <w:r>
        <w:t>7. Error Handling</w:t>
      </w:r>
    </w:p>
    <w:p>
      <w:r>
        <w:t>8. Appendix: Sample Payloads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document outlines the business requirements for integrating TransUnion CIBIL credit bureau services into the LendFlow Digital Lending Platform. The integration will enable real-time credit score retrieval, detailed credit report fetching, and bulk inquiry processing for loan underwriting workflows.</w:t>
      </w:r>
    </w:p>
    <w:p>
      <w:r>
        <w:t>The platform processes approximately 50,000 credit inquiries per day across personal loans, home loans, vehicle loans, and MSME lending products. Peak load occurs between 10 AM and 2 PM IST with 3x average throughput.</w:t>
      </w:r>
    </w:p>
    <w:p>
      <w:pPr>
        <w:pStyle w:val="Heading2"/>
      </w:pPr>
      <w:r>
        <w:t>1.1 Business Objectives</w:t>
      </w:r>
    </w:p>
    <w:p>
      <w:pPr>
        <w:pStyle w:val="ListBullet"/>
      </w:pPr>
      <w:r>
        <w:t>Reduce credit assessment turnaround from 48 hours to under 30 seconds</w:t>
      </w:r>
    </w:p>
    <w:p>
      <w:pPr>
        <w:pStyle w:val="ListBullet"/>
      </w:pPr>
      <w:r>
        <w:t>Achieve 99.95% uptime for credit bureau connectivity</w:t>
      </w:r>
    </w:p>
    <w:p>
      <w:pPr>
        <w:pStyle w:val="ListBullet"/>
      </w:pPr>
      <w:r>
        <w:t>Support 500+ concurrent credit inquiries per minute</w:t>
      </w:r>
    </w:p>
    <w:p>
      <w:pPr>
        <w:pStyle w:val="ListBullet"/>
      </w:pPr>
      <w:r>
        <w:t>Full RBI and CIBIL regulatory compliance</w:t>
      </w:r>
    </w:p>
    <w:p>
      <w:pPr>
        <w:pStyle w:val="ListBullet"/>
      </w:pPr>
      <w:r>
        <w:t>Zero-downtime version migration between CIBIL API v1 and v2</w:t>
      </w:r>
    </w:p>
    <w:p>
      <w:pPr>
        <w:pStyle w:val="ListBullet"/>
      </w:pPr>
      <w:r>
        <w:t>Automated field mapping from internal schemas to bureau formats</w:t>
      </w:r>
    </w:p>
    <w:p>
      <w:pPr>
        <w:pStyle w:val="Heading2"/>
      </w:pPr>
      <w:r>
        <w:t>1.2 Scope</w:t>
      </w:r>
    </w:p>
    <w:p>
      <w:r>
        <w:t>In-scope: Credit score retrieval, credit report fetching, bulk inquiry, consent management, retry/fallback logic, audit logging, multi-version support. Out-of-scope: Credit model customization, CIBIL portal direct access, dispute resolution.</w:t>
      </w:r>
    </w:p>
    <w:p>
      <w:pPr>
        <w:pStyle w:val="Heading1"/>
      </w:pPr>
      <w:r>
        <w:t>2. Integration Requirements</w:t>
      </w:r>
    </w:p>
    <w:p>
      <w:pPr>
        <w:pStyle w:val="Heading2"/>
      </w:pPr>
      <w:r>
        <w:t>2.1 API Endpoints</w:t>
      </w:r>
    </w:p>
    <w:p>
      <w:r>
        <w:t>The following CIBIL API endpoints are required: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/credit-score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Fetch CIBIL credit score for individual applicant</w:t>
            </w:r>
          </w:p>
        </w:tc>
        <w:tc>
          <w:tcPr>
            <w:tcW w:type="dxa" w:w="2160"/>
          </w:tcPr>
          <w:p>
            <w:r>
              <w:t>P0 — Critical</w:t>
            </w:r>
          </w:p>
        </w:tc>
      </w:tr>
      <w:tr>
        <w:tc>
          <w:tcPr>
            <w:tcW w:type="dxa" w:w="2160"/>
          </w:tcPr>
          <w:p>
            <w:r>
              <w:t>/credit-report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Fetch full credit report with trade lines, DPD history</w:t>
            </w:r>
          </w:p>
        </w:tc>
        <w:tc>
          <w:tcPr>
            <w:tcW w:type="dxa" w:w="2160"/>
          </w:tcPr>
          <w:p>
            <w:r>
              <w:t>P0 — Critical</w:t>
            </w:r>
          </w:p>
        </w:tc>
      </w:tr>
      <w:tr>
        <w:tc>
          <w:tcPr>
            <w:tcW w:type="dxa" w:w="2160"/>
          </w:tcPr>
          <w:p>
            <w:r>
              <w:t>/bulk-inquiry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Batch credit inquiry for up to 100 applicants</w:t>
            </w:r>
          </w:p>
        </w:tc>
        <w:tc>
          <w:tcPr>
            <w:tcW w:type="dxa" w:w="2160"/>
          </w:tcPr>
          <w:p>
            <w:r>
              <w:t>P1 — High</w:t>
            </w:r>
          </w:p>
        </w:tc>
      </w:tr>
      <w:tr>
        <w:tc>
          <w:tcPr>
            <w:tcW w:type="dxa" w:w="2160"/>
          </w:tcPr>
          <w:p>
            <w:r>
              <w:t>/consent/verify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Verify borrower consent token before bureau pull</w:t>
            </w:r>
          </w:p>
        </w:tc>
        <w:tc>
          <w:tcPr>
            <w:tcW w:type="dxa" w:w="2160"/>
          </w:tcPr>
          <w:p>
            <w:r>
              <w:t>P0 — Critical</w:t>
            </w:r>
          </w:p>
        </w:tc>
      </w:tr>
    </w:tbl>
    <w:p>
      <w:pPr>
        <w:pStyle w:val="Heading2"/>
      </w:pPr>
      <w:r>
        <w:t>2.2 Field Mappings</w:t>
      </w:r>
    </w:p>
    <w:p>
      <w:r>
        <w:t>The following fields must be mapped from the LendFlow internal schema to CIBIL request format: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LendFlow Field</w:t>
            </w:r>
          </w:p>
        </w:tc>
        <w:tc>
          <w:tcPr>
            <w:tcW w:type="dxa" w:w="2160"/>
          </w:tcPr>
          <w:p>
            <w:r>
              <w:t>CIBIL 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applicant.pan_number</w:t>
            </w:r>
          </w:p>
        </w:tc>
        <w:tc>
          <w:tcPr>
            <w:tcW w:type="dxa" w:w="2160"/>
          </w:tcPr>
          <w:p>
            <w:r>
              <w:t>pan_number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applicant.full_name</w:t>
            </w:r>
          </w:p>
        </w:tc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applicant.date_of_birth</w:t>
            </w:r>
          </w:p>
        </w:tc>
        <w:tc>
          <w:tcPr>
            <w:tcW w:type="dxa" w:w="2160"/>
          </w:tcPr>
          <w:p>
            <w:r>
              <w:t>date_of_birth</w:t>
            </w:r>
          </w:p>
        </w:tc>
        <w:tc>
          <w:tcPr>
            <w:tcW w:type="dxa" w:w="2160"/>
          </w:tcPr>
          <w:p>
            <w:r>
              <w:t>date (YYYY-MM-DD)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applicant.mobile</w:t>
            </w:r>
          </w:p>
        </w:tc>
        <w:tc>
          <w:tcPr>
            <w:tcW w:type="dxa" w:w="2160"/>
          </w:tcPr>
          <w:p>
            <w:r>
              <w:t>mobile_number</w:t>
            </w:r>
          </w:p>
        </w:tc>
        <w:tc>
          <w:tcPr>
            <w:tcW w:type="dxa" w:w="2160"/>
          </w:tcPr>
          <w:p>
            <w:r>
              <w:t>string (10 digits)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applicant.email</w:t>
            </w:r>
          </w:p>
        </w:tc>
        <w:tc>
          <w:tcPr>
            <w:tcW w:type="dxa" w:w="2160"/>
          </w:tcPr>
          <w:p>
            <w:r>
              <w:t>email_address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applicant.address.full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loan.product_type</w:t>
            </w:r>
          </w:p>
        </w:tc>
        <w:tc>
          <w:tcPr>
            <w:tcW w:type="dxa" w:w="2160"/>
          </w:tcPr>
          <w:p>
            <w:r>
              <w:t>loan_type</w:t>
            </w:r>
          </w:p>
        </w:tc>
        <w:tc>
          <w:tcPr>
            <w:tcW w:type="dxa" w:w="2160"/>
          </w:tcPr>
          <w:p>
            <w:r>
              <w:t>string (enum)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loan.requested_amount</w:t>
            </w:r>
          </w:p>
        </w:tc>
        <w:tc>
          <w:tcPr>
            <w:tcW w:type="dxa" w:w="2160"/>
          </w:tcPr>
          <w:p>
            <w:r>
              <w:t>loan_amount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2.3 Response Handling</w:t>
      </w:r>
    </w:p>
    <w:p>
      <w:r>
        <w:t>CIBIL response fields: credit_score (int 300-900), score_range (categorical: Poor/Fair/Good/Excellent), enquiry_id, report_id, active_accounts (count), overdue_accounts (count), total_outstanding (amount), dpd_30_plus_count (count). Scores below 650 trigger manual underwriting review. Scores below 500 result in auto-rejection with reason code mapping.</w:t>
      </w:r>
    </w:p>
    <w:p>
      <w:pPr>
        <w:pStyle w:val="Heading1"/>
      </w:pPr>
      <w:r>
        <w:t>3. Authentication Requirements</w:t>
      </w:r>
    </w:p>
    <w:p>
      <w:r>
        <w:t>CIBIL API v1 requires dual-factor authentication: API key (X-API-Key header) plus client certificate (mTLS). The client certificate is signed by CIBIL CA and presented during TLS handshake. Certificate CN must match the registered member ID.</w:t>
      </w:r>
    </w:p>
    <w:p>
      <w:pPr>
        <w:pStyle w:val="Heading2"/>
      </w:pPr>
      <w:r>
        <w:t>3.1 Credential Management</w:t>
      </w:r>
    </w:p>
    <w:p>
      <w:pPr>
        <w:pStyle w:val="ListBullet"/>
      </w:pPr>
      <w:r>
        <w:t>API keys stored in AWS Secrets Manager with automatic 90-day rotation</w:t>
      </w:r>
    </w:p>
    <w:p>
      <w:pPr>
        <w:pStyle w:val="ListBullet"/>
      </w:pPr>
      <w:r>
        <w:t>Client certificates in dedicated certificate vault with expiry monitoring</w:t>
      </w:r>
    </w:p>
    <w:p>
      <w:pPr>
        <w:pStyle w:val="ListBullet"/>
      </w:pPr>
      <w:r>
        <w:t>30-day advance alerting before certificate expiry</w:t>
      </w:r>
    </w:p>
    <w:p>
      <w:pPr>
        <w:pStyle w:val="ListBullet"/>
      </w:pPr>
      <w:r>
        <w:t>Separate credential sets for UAT, Staging, and Production</w:t>
      </w:r>
    </w:p>
    <w:p>
      <w:pPr>
        <w:pStyle w:val="ListBullet"/>
      </w:pPr>
      <w:r>
        <w:t>IP whitelisting required — CIBIL provides allowed CIDR ranges</w:t>
      </w:r>
    </w:p>
    <w:p>
      <w:pPr>
        <w:pStyle w:val="ListBullet"/>
      </w:pPr>
      <w:r>
        <w:t>Emergency credential rotation runbook must be documented</w:t>
      </w:r>
    </w:p>
    <w:p>
      <w:pPr>
        <w:pStyle w:val="Heading2"/>
      </w:pPr>
      <w:r>
        <w:t>3.2 OAuth2 Migration (v2)</w:t>
      </w:r>
    </w:p>
    <w:p>
      <w:r>
        <w:t>CIBIL API v2 uses OAuth2 client_credentials grant. Both auth methods must coexist during the 6-month migration window. Token endpoint: POST /oauth/token. Access tokens expire in 3600s; refresh with 5-minute pre-expiry buffer. Scopes: credit_score:read, credit_report:read, bulk_inquiry:write.</w:t>
      </w:r>
    </w:p>
    <w:p>
      <w:pPr>
        <w:pStyle w:val="Heading1"/>
      </w:pPr>
      <w:r>
        <w:t>4. Security Requirements</w:t>
      </w:r>
    </w:p>
    <w:p>
      <w:pPr>
        <w:pStyle w:val="ListBullet"/>
      </w:pPr>
      <w:r>
        <w:t>All PII (PAN, Aadhaar, mobile) encrypted at rest with AES-256-GCM</w:t>
      </w:r>
    </w:p>
    <w:p>
      <w:pPr>
        <w:pStyle w:val="ListBullet"/>
      </w:pPr>
      <w:r>
        <w:t>Data in transit: TLS 1.2+ mandatory, prefer TLS 1.3</w:t>
      </w:r>
    </w:p>
    <w:p>
      <w:pPr>
        <w:pStyle w:val="ListBullet"/>
      </w:pPr>
      <w:r>
        <w:t>PAN masking in all logs — show only last 4 characters (e.g., XXXX1234A)</w:t>
      </w:r>
    </w:p>
    <w:p>
      <w:pPr>
        <w:pStyle w:val="ListBullet"/>
      </w:pPr>
      <w:r>
        <w:t>Credit reports must not be cached beyond 24 hours</w:t>
      </w:r>
    </w:p>
    <w:p>
      <w:pPr>
        <w:pStyle w:val="ListBullet"/>
      </w:pPr>
      <w:r>
        <w:t>Full audit trail for every bureau API call (request hash, response hash, timestamp)</w:t>
      </w:r>
    </w:p>
    <w:p>
      <w:pPr>
        <w:pStyle w:val="ListBullet"/>
      </w:pPr>
      <w:r>
        <w:t>Consent records retained for minimum 5 years per RBI Master Direction 2024</w:t>
      </w:r>
    </w:p>
    <w:p>
      <w:pPr>
        <w:pStyle w:val="ListBullet"/>
      </w:pPr>
      <w:r>
        <w:t>Rate limiting: 100 req/s per tenant, 1000 req/s global</w:t>
      </w:r>
    </w:p>
    <w:p>
      <w:pPr>
        <w:pStyle w:val="ListBullet"/>
      </w:pPr>
      <w:r>
        <w:t>Circuit breaker: open at 50% failure rate over 30s window, half-open after 60s</w:t>
      </w:r>
    </w:p>
    <w:p>
      <w:pPr>
        <w:pStyle w:val="ListBullet"/>
      </w:pPr>
      <w:r>
        <w:t>DDoS mitigation via WAF rules on bureau endpoints</w:t>
      </w:r>
    </w:p>
    <w:p>
      <w:pPr>
        <w:pStyle w:val="ListBullet"/>
      </w:pPr>
      <w:r>
        <w:t>PII data must never leave India — all processing in ap-south-1 region</w:t>
      </w:r>
    </w:p>
    <w:p>
      <w:pPr>
        <w:pStyle w:val="Heading1"/>
      </w:pPr>
      <w:r>
        <w:t>5. SLA Requirements</w:t>
      </w:r>
    </w:p>
    <w:p>
      <w:pPr>
        <w:pStyle w:val="Heading2"/>
      </w:pPr>
      <w:r>
        <w:t>5.1 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Measurement</w:t>
            </w:r>
          </w:p>
        </w:tc>
      </w:tr>
      <w:tr>
        <w:tc>
          <w:tcPr>
            <w:tcW w:type="dxa" w:w="2880"/>
          </w:tcPr>
          <w:p>
            <w:r>
              <w:t>Response Time (p50)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Per-request latency</w:t>
            </w:r>
          </w:p>
        </w:tc>
      </w:tr>
      <w:tr>
        <w:tc>
          <w:tcPr>
            <w:tcW w:type="dxa" w:w="2880"/>
          </w:tcPr>
          <w:p>
            <w:r>
              <w:t>Response Time (p99)</w:t>
            </w:r>
          </w:p>
        </w:tc>
        <w:tc>
          <w:tcPr>
            <w:tcW w:type="dxa" w:w="2880"/>
          </w:tcPr>
          <w:p>
            <w:r>
              <w:t>&lt; 2000ms</w:t>
            </w:r>
          </w:p>
        </w:tc>
        <w:tc>
          <w:tcPr>
            <w:tcW w:type="dxa" w:w="2880"/>
          </w:tcPr>
          <w:p>
            <w:r>
              <w:t>Tail latency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99.95%</w:t>
            </w:r>
          </w:p>
        </w:tc>
        <w:tc>
          <w:tcPr>
            <w:tcW w:type="dxa" w:w="2880"/>
          </w:tcPr>
          <w:p>
            <w:r>
              <w:t>Monthly rolling window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Non-timeout server errors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500 req/min sustained</w:t>
            </w:r>
          </w:p>
        </w:tc>
        <w:tc>
          <w:tcPr>
            <w:tcW w:type="dxa" w:w="2880"/>
          </w:tcPr>
          <w:p>
            <w:r>
              <w:t>Under normal load</w:t>
            </w:r>
          </w:p>
        </w:tc>
      </w:tr>
      <w:tr>
        <w:tc>
          <w:tcPr>
            <w:tcW w:type="dxa" w:w="2880"/>
          </w:tcPr>
          <w:p>
            <w:r>
              <w:t>Recovery Time (RTO)</w:t>
            </w:r>
          </w:p>
        </w:tc>
        <w:tc>
          <w:tcPr>
            <w:tcW w:type="dxa" w:w="2880"/>
          </w:tcPr>
          <w:p>
            <w:r>
              <w:t>&lt; 5 minutes</w:t>
            </w:r>
          </w:p>
        </w:tc>
        <w:tc>
          <w:tcPr>
            <w:tcW w:type="dxa" w:w="2880"/>
          </w:tcPr>
          <w:p>
            <w:r>
              <w:t>Circuit breaker recovery</w:t>
            </w:r>
          </w:p>
        </w:tc>
      </w:tr>
    </w:tbl>
    <w:p>
      <w:pPr>
        <w:pStyle w:val="Heading2"/>
      </w:pPr>
      <w:r>
        <w:t>5.2 Retry &amp; Fallback Policy</w:t>
      </w:r>
    </w:p>
    <w:p>
      <w:r>
        <w:t>Retry policy: exponential backoff, initial=100ms, max_retries=3, multiplier=2x, max_delay=2s. Non-retryable: 400, 401, 403, 422. Retryable: 429, 500, 502, 503, 504.</w:t>
      </w:r>
    </w:p>
    <w:p>
      <w:r>
        <w:t>Fallback on exhausted retries: (1) serve cached score if fresh (&lt;24h), (2) queue for async retry, (3) alert ops via PagerDuty P2, (4) return degraded response with flag.</w:t>
      </w:r>
    </w:p>
    <w:p>
      <w:pPr>
        <w:pStyle w:val="Heading1"/>
      </w:pPr>
      <w:r>
        <w:t>6. Data Transformation Rules</w:t>
      </w:r>
    </w:p>
    <w:p>
      <w:pPr>
        <w:pStyle w:val="ListBullet"/>
      </w:pPr>
      <w:r>
        <w:t>PAN number: validate regex ^[A-Z]{5}[0-9]{4}[A-Z]$ before request</w:t>
      </w:r>
    </w:p>
    <w:p>
      <w:pPr>
        <w:pStyle w:val="ListBullet"/>
      </w:pPr>
      <w:r>
        <w:t>Date of birth: convert DD/MM/YYYY (internal) to YYYY-MM-DD (CIBIL)</w:t>
      </w:r>
    </w:p>
    <w:p>
      <w:pPr>
        <w:pStyle w:val="ListBullet"/>
      </w:pPr>
      <w:r>
        <w:t>Mobile: strip +91 prefix, validate 10-digit format</w:t>
      </w:r>
    </w:p>
    <w:p>
      <w:pPr>
        <w:pStyle w:val="ListBullet"/>
      </w:pPr>
      <w:r>
        <w:t>Loan amount: convert paisa to rupees (divide by 100)</w:t>
      </w:r>
    </w:p>
    <w:p>
      <w:pPr>
        <w:pStyle w:val="ListBullet"/>
      </w:pPr>
      <w:r>
        <w:t>Address: concatenate line1 + line2 + city + state + pincode with comma separator</w:t>
      </w:r>
    </w:p>
    <w:p>
      <w:pPr>
        <w:pStyle w:val="ListBullet"/>
      </w:pPr>
      <w:r>
        <w:t>Credit score response: normalize 300-900 range to 0-100 internal scale</w:t>
      </w:r>
    </w:p>
    <w:p>
      <w:pPr>
        <w:pStyle w:val="ListBullet"/>
      </w:pPr>
      <w:r>
        <w:t>Name: trim whitespace, title-case normalization</w:t>
      </w:r>
    </w:p>
    <w:p>
      <w:pPr>
        <w:pStyle w:val="ListBullet"/>
      </w:pPr>
      <w:r>
        <w:t>Email: lowercase normalization before hashing</w:t>
      </w:r>
    </w:p>
    <w:p>
      <w:pPr>
        <w:pStyle w:val="Heading1"/>
      </w:pPr>
      <w:r>
        <w:t>7. Error Handling</w:t>
      </w:r>
    </w:p>
    <w:p>
      <w:r>
        <w:t>Error codes from CIBIL must be mapped to internal error taxonomy. Key mappings: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CIBIL Code</w:t>
            </w:r>
          </w:p>
        </w:tc>
        <w:tc>
          <w:tcPr>
            <w:tcW w:type="dxa" w:w="2880"/>
          </w:tcPr>
          <w:p>
            <w:r>
              <w:t>Internal Code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CB001 - Invalid PAN</w:t>
            </w:r>
          </w:p>
        </w:tc>
        <w:tc>
          <w:tcPr>
            <w:tcW w:type="dxa" w:w="2880"/>
          </w:tcPr>
          <w:p>
            <w:r>
              <w:t>VALIDATION_ERROR</w:t>
            </w:r>
          </w:p>
        </w:tc>
        <w:tc>
          <w:tcPr>
            <w:tcW w:type="dxa" w:w="2880"/>
          </w:tcPr>
          <w:p>
            <w:r>
              <w:t>Reject with user-facing message</w:t>
            </w:r>
          </w:p>
        </w:tc>
      </w:tr>
      <w:tr>
        <w:tc>
          <w:tcPr>
            <w:tcW w:type="dxa" w:w="2880"/>
          </w:tcPr>
          <w:p>
            <w:r>
              <w:t>CB002 - No Record Found</w:t>
            </w:r>
          </w:p>
        </w:tc>
        <w:tc>
          <w:tcPr>
            <w:tcW w:type="dxa" w:w="2880"/>
          </w:tcPr>
          <w:p>
            <w:r>
              <w:t>NO_HIT</w:t>
            </w:r>
          </w:p>
        </w:tc>
        <w:tc>
          <w:tcPr>
            <w:tcW w:type="dxa" w:w="2880"/>
          </w:tcPr>
          <w:p>
            <w:r>
              <w:t>Proceed with no-hit workflow</w:t>
            </w:r>
          </w:p>
        </w:tc>
      </w:tr>
      <w:tr>
        <w:tc>
          <w:tcPr>
            <w:tcW w:type="dxa" w:w="2880"/>
          </w:tcPr>
          <w:p>
            <w:r>
              <w:t>CB003 - Consent Expired</w:t>
            </w:r>
          </w:p>
        </w:tc>
        <w:tc>
          <w:tcPr>
            <w:tcW w:type="dxa" w:w="2880"/>
          </w:tcPr>
          <w:p>
            <w:r>
              <w:t>CONSENT_REQUIRED</w:t>
            </w:r>
          </w:p>
        </w:tc>
        <w:tc>
          <w:tcPr>
            <w:tcW w:type="dxa" w:w="2880"/>
          </w:tcPr>
          <w:p>
            <w:r>
              <w:t>Re-trigger consent flow</w:t>
            </w:r>
          </w:p>
        </w:tc>
      </w:tr>
      <w:tr>
        <w:tc>
          <w:tcPr>
            <w:tcW w:type="dxa" w:w="2880"/>
          </w:tcPr>
          <w:p>
            <w:r>
              <w:t>CB004 - Rate Limited</w:t>
            </w:r>
          </w:p>
        </w:tc>
        <w:tc>
          <w:tcPr>
            <w:tcW w:type="dxa" w:w="2880"/>
          </w:tcPr>
          <w:p>
            <w:r>
              <w:t>THROTTLED</w:t>
            </w:r>
          </w:p>
        </w:tc>
        <w:tc>
          <w:tcPr>
            <w:tcW w:type="dxa" w:w="2880"/>
          </w:tcPr>
          <w:p>
            <w:r>
              <w:t>Retry with backoff</w:t>
            </w:r>
          </w:p>
        </w:tc>
      </w:tr>
      <w:tr>
        <w:tc>
          <w:tcPr>
            <w:tcW w:type="dxa" w:w="2880"/>
          </w:tcPr>
          <w:p>
            <w:r>
              <w:t>CB999 - Internal Error</w:t>
            </w:r>
          </w:p>
        </w:tc>
        <w:tc>
          <w:tcPr>
            <w:tcW w:type="dxa" w:w="2880"/>
          </w:tcPr>
          <w:p>
            <w:r>
              <w:t>UPSTREAM_ERROR</w:t>
            </w:r>
          </w:p>
        </w:tc>
        <w:tc>
          <w:tcPr>
            <w:tcW w:type="dxa" w:w="2880"/>
          </w:tcPr>
          <w:p>
            <w:r>
              <w:t>Retry then fallback</w:t>
            </w:r>
          </w:p>
        </w:tc>
      </w:tr>
    </w:tbl>
    <w:p>
      <w:pPr>
        <w:pStyle w:val="Heading1"/>
      </w:pPr>
      <w:r>
        <w:t>8. Appendix: Sample Payloads</w:t>
      </w:r>
    </w:p>
    <w:p>
      <w:pPr>
        <w:pStyle w:val="Heading2"/>
      </w:pPr>
      <w:r>
        <w:t>8.1 Sample Request</w:t>
      </w:r>
    </w:p>
    <w:p>
      <w:r>
        <w:t>{</w:t>
        <w:br/>
        <w:t xml:space="preserve">  "pan_number": "ABCDE1234F",</w:t>
        <w:br/>
        <w:t xml:space="preserve">  "full_name": "Rajesh Kumar Sharma",</w:t>
        <w:br/>
        <w:t xml:space="preserve">  "date_of_birth": "1990-05-15",</w:t>
        <w:br/>
        <w:t xml:space="preserve">  "mobile_number": "9876543210",</w:t>
        <w:br/>
        <w:t xml:space="preserve">  "email_address": "rajesh.sharma@email.com",</w:t>
        <w:br/>
        <w:t xml:space="preserve">  "address": "42 MG Road, Bangalore, Karnataka 560001",</w:t>
        <w:br/>
        <w:t xml:space="preserve">  "loan_type": "personal_loan",</w:t>
        <w:br/>
        <w:t xml:space="preserve">  "loan_amount": 500000</w:t>
        <w:br/>
        <w:t>}</w:t>
      </w:r>
    </w:p>
    <w:p>
      <w:pPr>
        <w:pStyle w:val="Heading2"/>
      </w:pPr>
      <w:r>
        <w:t>8.2 Sample Response</w:t>
      </w:r>
    </w:p>
    <w:p>
      <w:r>
        <w:t>{</w:t>
        <w:br/>
        <w:t xml:space="preserve">  "credit_score": 742,</w:t>
        <w:br/>
        <w:t xml:space="preserve">  "score_range": "Good",</w:t>
        <w:br/>
        <w:t xml:space="preserve">  "enquiry_id": "ENQ-2026-0327-001",</w:t>
        <w:br/>
        <w:t xml:space="preserve">  "report_id": "RPT-2026-0327-001",</w:t>
        <w:br/>
        <w:t xml:space="preserve">  "active_accounts": 5,</w:t>
        <w:br/>
        <w:t xml:space="preserve">  "overdue_accounts": 0,</w:t>
        <w:br/>
        <w:t xml:space="preserve">  "total_outstanding": 1250000,</w:t>
        <w:br/>
        <w:t xml:space="preserve">  "dpd_30_plus_count": 0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