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569"/>
          <w:sz w:val="24"/>
        </w:rPr>
        <w:t>PHARMAMOBIL</w:t>
      </w:r>
    </w:p>
    <w:p>
      <w:pPr>
        <w:pStyle w:val="Title"/>
        <w:jc w:val="center"/>
      </w:pPr>
      <w:r>
        <w:t>Evidencias de la actividad práctica de la sesión 5</w:t>
      </w:r>
    </w:p>
    <w:p>
      <w:pPr>
        <w:jc w:val="center"/>
      </w:pPr>
      <w:r>
        <w:rPr>
          <w:color w:val="464646"/>
          <w:sz w:val="30"/>
        </w:rPr>
        <w:t>Clean Architecture y MVVM en el módulo de productos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76"/>
        <w:gridCol w:w="7056"/>
      </w:tblGrid>
      <w:tr>
        <w:tc>
          <w:tcPr>
            <w:tcW w:type="dxa" w:w="4997"/>
            <w:shd w:fill="DDEFEA"/>
            <w:vAlign w:val="cente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</w:rPr>
              <w:t>Estudiante</w:t>
            </w:r>
          </w:p>
        </w:tc>
        <w:tc>
          <w:tcPr>
            <w:tcW w:type="dxa" w:w="4997"/>
            <w:vAlign w:val="cente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t>Roberto Valencia</w:t>
            </w:r>
          </w:p>
        </w:tc>
      </w:tr>
      <w:tr>
        <w:tc>
          <w:tcPr>
            <w:tcW w:type="dxa" w:w="4997"/>
            <w:shd w:fill="DDEFEA"/>
            <w:vAlign w:val="cente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997"/>
            <w:vAlign w:val="cente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t>PharmaMobil</w:t>
            </w:r>
          </w:p>
        </w:tc>
      </w:tr>
      <w:tr>
        <w:tc>
          <w:tcPr>
            <w:tcW w:type="dxa" w:w="4997"/>
            <w:shd w:fill="DDEFEA"/>
            <w:vAlign w:val="cente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</w:rPr>
              <w:t>Sesión</w:t>
            </w:r>
          </w:p>
        </w:tc>
        <w:tc>
          <w:tcPr>
            <w:tcW w:type="dxa" w:w="4997"/>
            <w:vAlign w:val="cente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t>Sesión 5</w:t>
            </w:r>
          </w:p>
        </w:tc>
      </w:tr>
      <w:tr>
        <w:tc>
          <w:tcPr>
            <w:tcW w:type="dxa" w:w="4997"/>
            <w:shd w:fill="DDEFEA"/>
            <w:vAlign w:val="cente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</w:rPr>
              <w:t>Rama de trabajo</w:t>
            </w:r>
          </w:p>
        </w:tc>
        <w:tc>
          <w:tcPr>
            <w:tcW w:type="dxa" w:w="4997"/>
            <w:vAlign w:val="cente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t>feature/clean-mvvm</w:t>
            </w:r>
          </w:p>
        </w:tc>
      </w:tr>
    </w:tbl>
    <w:p/>
    <w:p>
      <w:pPr>
        <w:jc w:val="center"/>
      </w:pPr>
      <w:r>
        <w:rPr>
          <w:b/>
          <w:sz w:val="28"/>
        </w:rPr>
        <w:t>Resultado general</w:t>
      </w:r>
    </w:p>
    <w:p>
      <w:pPr>
        <w:jc w:val="both"/>
      </w:pPr>
      <w:r>
        <w:t>El módulo de productos quedó reorganizado por responsabilidades y conserva su funcionamiento. La pantalla representa correctamente los estados de carga, vacío, contenido y error, mientras que la lógica se mantiene en el código compartido.</w:t>
      </w:r>
    </w:p>
    <w:p>
      <w:r>
        <w:br w:type="page"/>
      </w:r>
    </w:p>
    <w:p>
      <w:pPr>
        <w:pStyle w:val="Heading1"/>
      </w:pPr>
      <w:r>
        <w:t>Objetivo de la implementación</w:t>
      </w:r>
    </w:p>
    <w:p>
      <w:r>
        <w:t>El trabajo consistió en reorganizar el módulo de productos aplicando Clean Architecture junto con el patrón MVVM. El propósito fue separar la interfaz, la lógica de negocio y el acceso a datos para evitar duplicaciones y facilitar que, más adelante, un backend REST pueda reemplazar al repositorio en memoria.</w:t>
      </w:r>
    </w:p>
    <w:p>
      <w:pPr>
        <w:pStyle w:val="Heading2"/>
      </w:pPr>
      <w:r>
        <w:t>Distribución de responsabilidades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952"/>
        <w:gridCol w:w="4824"/>
      </w:tblGrid>
      <w:tr>
        <w:tc>
          <w:tcPr>
            <w:tcW w:type="dxa" w:w="3331"/>
            <w:shd w:fill="00756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3331"/>
            <w:shd w:fill="00756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FFFFFF"/>
              </w:rPr>
              <w:t>Elementos principales</w:t>
            </w:r>
          </w:p>
        </w:tc>
        <w:tc>
          <w:tcPr>
            <w:tcW w:type="dxa" w:w="3331"/>
            <w:shd w:fill="00756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FFFFFF"/>
              </w:rPr>
              <w:t>Responsabilidad</w:t>
            </w:r>
          </w:p>
        </w:tc>
      </w:tr>
      <w:tr>
        <w:tc>
          <w:tcPr>
            <w:tcW w:type="dxa" w:w="1728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r>
              <w:t>Domain</w:t>
            </w:r>
          </w:p>
        </w:tc>
        <w:tc>
          <w:tcPr>
            <w:tcW w:type="dxa" w:w="2952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r>
              <w:t>Modelo, repository y use case</w:t>
            </w:r>
          </w:p>
        </w:tc>
        <w:tc>
          <w:tcPr>
            <w:tcW w:type="dxa" w:w="4824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r>
              <w:t>Define las reglas del negocio sin depender de la interfaz ni de la fuente de datos.</w:t>
            </w:r>
          </w:p>
        </w:tc>
      </w:tr>
      <w:tr>
        <w:tc>
          <w:tcPr>
            <w:tcW w:type="dxa" w:w="1728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shd w:fill="F0F6F4"/>
          </w:tcPr>
          <w:p>
            <w:r>
              <w:t>Data</w:t>
            </w:r>
          </w:p>
        </w:tc>
        <w:tc>
          <w:tcPr>
            <w:tcW w:type="dxa" w:w="2952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shd w:fill="F0F6F4"/>
          </w:tcPr>
          <w:p>
            <w:r>
              <w:t>Repositorio en memoria</w:t>
            </w:r>
          </w:p>
        </w:tc>
        <w:tc>
          <w:tcPr>
            <w:tcW w:type="dxa" w:w="4824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shd w:fill="F0F6F4"/>
          </w:tcPr>
          <w:p>
            <w:r>
              <w:t>Implementa el contrato del dominio y simula el acceso a información.</w:t>
            </w:r>
          </w:p>
        </w:tc>
      </w:tr>
      <w:tr>
        <w:tc>
          <w:tcPr>
            <w:tcW w:type="dxa" w:w="1728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r>
              <w:t>Presentation</w:t>
            </w:r>
          </w:p>
        </w:tc>
        <w:tc>
          <w:tcPr>
            <w:tcW w:type="dxa" w:w="2952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r>
              <w:t>Screen, ViewModel y UI state</w:t>
            </w:r>
          </w:p>
        </w:tc>
        <w:tc>
          <w:tcPr>
            <w:tcW w:type="dxa" w:w="4824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r>
              <w:t>Recibe eventos, conserva el estado y lo representa mediante Compose.</w:t>
            </w:r>
          </w:p>
        </w:tc>
      </w:tr>
      <w:tr>
        <w:tc>
          <w:tcPr>
            <w:tcW w:type="dxa" w:w="1728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shd w:fill="F0F6F4"/>
          </w:tcPr>
          <w:p>
            <w:r>
              <w:t>DI</w:t>
            </w:r>
          </w:p>
        </w:tc>
        <w:tc>
          <w:tcPr>
            <w:tcW w:type="dxa" w:w="2952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shd w:fill="F0F6F4"/>
          </w:tcPr>
          <w:p>
            <w:r>
              <w:t>AppModule de Koin</w:t>
            </w:r>
          </w:p>
        </w:tc>
        <w:tc>
          <w:tcPr>
            <w:tcW w:type="dxa" w:w="4824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shd w:fill="F0F6F4"/>
          </w:tcPr>
          <w:p>
            <w:r>
              <w:t>Construye y conecta las dependencias sin crearlas directamente en la pantalla.</w:t>
            </w:r>
          </w:p>
        </w:tc>
      </w:tr>
    </w:tbl>
    <w:p>
      <w:r>
        <w:t>La interfaz depende del ViewModel; el ViewModel utiliza los casos de uso; y estos trabajan con el contrato ProductoRepository. Por eso, cambiar la implementación del repositorio no obliga a modificar la pantalla.</w:t>
      </w:r>
    </w:p>
    <w:p>
      <w:pPr>
        <w:pStyle w:val="Heading2"/>
      </w:pPr>
      <w:r>
        <w:t>Evidencias obtenidas</w:t>
      </w:r>
    </w:p>
    <w:p>
      <w:r>
        <w:t>Las siguientes capturas muestran el comportamiento solicitado en Android, la organización final del proyecto y la ejecución satisfactoria de las pruebas automatizadas.</w:t>
      </w:r>
    </w:p>
    <w:p>
      <w:r>
        <w:br w:type="page"/>
      </w:r>
    </w:p>
    <w:p>
      <w:pPr>
        <w:pStyle w:val="Heading1"/>
      </w:pPr>
      <w:r>
        <w:t>Evidencia 1  Estado de carga</w:t>
      </w:r>
    </w:p>
    <w:p>
      <w:r>
        <w:t>La pantalla muestra un indicador de progreso mientras el ViewModel espera la respuesta del repositorio. Durante este estado se evita que el usuario vuelva a registrar información.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6740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43c8a9c-b494-483c-8b83-8b1e58e3469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674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Figura 1. Estado de carga.</w:t>
      </w:r>
    </w:p>
    <w:p>
      <w:r>
        <w:br w:type="page"/>
      </w:r>
    </w:p>
    <w:p>
      <w:pPr>
        <w:pStyle w:val="Heading1"/>
      </w:pPr>
      <w:r>
        <w:t>Evidencia 2  Estado vacío</w:t>
      </w:r>
    </w:p>
    <w:p>
      <w:r>
        <w:t>Cuando el repositorio no contiene elementos, la interfaz informa de forma clara que todavía no existen productos registrados.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4406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1667792-1470-4853-8554-62a21846525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06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Figura 2. Estado vacío.</w:t>
      </w:r>
    </w:p>
    <w:p>
      <w:r>
        <w:br w:type="page"/>
      </w:r>
    </w:p>
    <w:p>
      <w:pPr>
        <w:pStyle w:val="Heading1"/>
      </w:pPr>
      <w:r>
        <w:t>Evidencia 3  Estado con productos</w:t>
      </w:r>
    </w:p>
    <w:p>
      <w:r>
        <w:t>La información entregada por el caso de uso se presenta en tarjetas. Se observan nombre, precio, stock y estado de cada producto.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45246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873ab19-5301-4039-997a-768c7b48ebd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524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Figura 3. Estado con productos.</w:t>
      </w:r>
    </w:p>
    <w:p>
      <w:r>
        <w:br w:type="page"/>
      </w:r>
    </w:p>
    <w:p>
      <w:pPr>
        <w:pStyle w:val="Heading1"/>
      </w:pPr>
      <w:r>
        <w:t>Evidencia 4  Estado de error</w:t>
      </w:r>
    </w:p>
    <w:p>
      <w:r>
        <w:t>La excepción simulada en el repositorio llega al ViewModel y se representa mediante un mensaje comprensible y la opción Reintentar.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43924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46c41e4-e57a-4168-8e82-68e2946793a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392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Figura 4. Estado de error.</w:t>
      </w:r>
    </w:p>
    <w:p>
      <w:r>
        <w:br w:type="page"/>
      </w:r>
    </w:p>
    <w:p>
      <w:pPr>
        <w:pStyle w:val="Heading1"/>
      </w:pPr>
      <w:r>
        <w:t>Evidencia 5  Organización Clean Architecture y MVVM</w:t>
      </w:r>
    </w:p>
    <w:p>
      <w:r>
        <w:t>El módulo quedó separado en data, domain, di y presentation. Esta distribución permite reemplazar el repositorio en memoria por una API REST sin reescribir la pantalla.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11767" cy="6812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f406811-f566-4b92-877b-65657243d8d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1767" cy="6812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Figura 5. Organización Clean Architecture y MVVM.</w:t>
      </w:r>
    </w:p>
    <w:p>
      <w:r>
        <w:br w:type="page"/>
      </w:r>
    </w:p>
    <w:p>
      <w:pPr>
        <w:pStyle w:val="Heading1"/>
      </w:pPr>
      <w:r>
        <w:t>Evidencia 6  Ejecución de pruebas</w:t>
      </w:r>
    </w:p>
    <w:p>
      <w:r>
        <w:t>Las pruebas del módulo compartido finalizaron correctamente. El resultado BUILD SUCCESSFUL confirma que la lógica común compila y supera las verificaciones en Android.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2011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c1f99df4-752f-44b3-8328-d57f2f1e548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01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Figura 6. Ejecución de pruebas.</w:t>
      </w:r>
    </w:p>
    <w:p>
      <w:r>
        <w:br w:type="page"/>
      </w:r>
    </w:p>
    <w:p>
      <w:pPr>
        <w:pStyle w:val="Heading1"/>
      </w:pPr>
      <w:r>
        <w:t>Conclusiones</w:t>
      </w:r>
    </w:p>
    <w:p>
      <w:pPr>
        <w:pStyle w:val="ListBullet"/>
      </w:pPr>
      <w:r>
        <w:t>La separación en capas permite que cada archivo tenga una responsabilidad clara y reduce el acoplamiento entre la interfaz y los datos.</w:t>
      </w:r>
    </w:p>
    <w:p>
      <w:pPr>
        <w:pStyle w:val="ListBullet"/>
      </w:pPr>
      <w:r>
        <w:t>MVVM concentra el estado y las acciones del usuario en el ViewModel, por lo que la pantalla se limita a mostrar información y enviar eventos.</w:t>
      </w:r>
    </w:p>
    <w:p>
      <w:pPr>
        <w:pStyle w:val="ListBullet"/>
      </w:pPr>
      <w:r>
        <w:t>Los cuatro estados de la interfaz fueron comprobados en Android: carga, lista vacía, lista con productos y error recuperable.</w:t>
      </w:r>
    </w:p>
    <w:p>
      <w:pPr>
        <w:pStyle w:val="ListBullet"/>
      </w:pPr>
      <w:r>
        <w:t>Las pruebas del código compartido terminaron con BUILD SUCCESSFUL, confirmando que la reorganización mantiene el proyecto compilable y funcional.</w:t>
      </w:r>
    </w:p>
    <w:p>
      <w:r>
        <w:t>Con esta estructura, el siguiente paso puede ser implementar un repositorio remoto conectado a una API REST y seleccionarlo desde Koin, sin cambiar la pantalla de productos.</w:t>
      </w:r>
    </w:p>
    <w:sectPr w:rsidR="00FC693F" w:rsidRPr="0006063C" w:rsidSect="00034616">
      <w:footerReference w:type="default" r:id="rId15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pBdr>
        <w:top w:val="nil"/>
        <w:left w:val="nil"/>
        <w:bottom w:val="nil"/>
        <w:right w:val="nil"/>
        <w:between w:val="nil"/>
      </w:pBdr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de la actividad práctica de la sesión 5</dc:title>
  <dc:subject>Clean Architecture y MVVM en PharmaMobil</dc:subject>
  <dc:creator>Roberto Valencia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