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sz w:val="32"/>
        </w:rPr>
        <w:t>RIGSENSE ENGINE – INTELLIGENT AND INTERACTIVE PC-BUILDING ASSISTANT</w:t>
      </w:r>
    </w:p>
    <w:p>
      <w:pPr>
        <w:pStyle w:val="Heading2"/>
        <w:jc w:val="center"/>
      </w:pPr>
      <w:r>
        <w:rPr>
          <w:rFonts w:ascii="Times New Roman" w:hAnsi="Times New Roman"/>
          <w:sz w:val="28"/>
        </w:rPr>
        <w:t>ABSTRACT</w:t>
      </w:r>
    </w:p>
    <w:p>
      <w:pPr>
        <w:jc w:val="both"/>
      </w:pPr>
      <w:r>
        <w:rPr>
          <w:rFonts w:ascii="Times New Roman" w:hAnsi="Times New Roman"/>
          <w:sz w:val="24"/>
        </w:rPr>
        <w:t>RigSense Engine is an intelligent PC-building assistant designed to simplify the process of selecting and configuring computer components. The system provides AI-driven suggestions, real-time compatibility checks, and performance analysis to help users avoid common issues such as part mismatches, poor budget allocation, and difficulty understanding technical specifications.</w:t>
        <w:br/>
        <w:br/>
        <w:t>Users begin by entering their budget and intended use case—such as gaming, content creation, or workstation tasks. Based on these inputs, the system generates three preset configurations: budget, mid-range, and high-performance. Users may choose from these or build from scratch while receiving continuous recommendations.</w:t>
        <w:br/>
        <w:br/>
        <w:t>RigSense Engine dynamically suggests compatible CPUs, GPUs, motherboards, RAM, storage, power supplies, cooling solutions, and cabinets. It monitors remaining budget, optimizes performance for cost, and detects issues including socket mismatches, insufficient PSU wattage, clearance limitations, and potential CPU-GPU bottlenecks.</w:t>
        <w:br/>
        <w:br/>
        <w:t>The system also provides benchmark insights, FPS estimates, rendering performance indicators, and pricing breakdowns. Once the build is completed, a detailed report is generated along with two alternative optimized configurations for future upgrades or budget adjustments.</w:t>
      </w:r>
    </w:p>
    <w:tbl>
      <w:tblPr>
        <w:tblW w:type="auto" w:w="0"/>
        <w:jc w:val="center"/>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8"/>
              </w:rPr>
              <w:t>GUIDE</w:t>
            </w:r>
          </w:p>
        </w:tc>
        <w:tc>
          <w:tcPr>
            <w:tcW w:type="dxa" w:w="4320"/>
          </w:tcPr>
          <w:p>
            <w:pPr>
              <w:jc w:val="center"/>
            </w:pPr>
            <w:r>
              <w:rPr>
                <w:rFonts w:ascii="Times New Roman" w:hAnsi="Times New Roman"/>
                <w:b/>
                <w:sz w:val="28"/>
              </w:rPr>
              <w:t>TEAM MEMBERS</w:t>
            </w:r>
          </w:p>
        </w:tc>
      </w:tr>
      <w:tr>
        <w:tc>
          <w:tcPr>
            <w:tcW w:type="dxa" w:w="4320"/>
          </w:tcPr>
          <w:p>
            <w:pPr>
              <w:jc w:val="left"/>
            </w:pPr>
            <w:r>
              <w:rPr>
                <w:rFonts w:ascii="Times New Roman" w:hAnsi="Times New Roman"/>
                <w:sz w:val="24"/>
              </w:rPr>
              <w:t>Name</w:t>
              <w:br/>
              <w:t>Designation</w:t>
            </w:r>
          </w:p>
        </w:tc>
        <w:tc>
          <w:tcPr>
            <w:tcW w:type="dxa" w:w="4320"/>
          </w:tcPr>
          <w:p>
            <w:pPr>
              <w:jc w:val="right"/>
            </w:pPr>
            <w:r>
              <w:rPr>
                <w:rFonts w:ascii="Times New Roman" w:hAnsi="Times New Roman"/>
                <w:sz w:val="24"/>
              </w:rPr>
              <w:t>John Agi</w:t>
              <w:br/>
              <w:t>Adhithyan K Babu</w:t>
              <w:br/>
              <w:t>M S Giribhaskar</w:t>
              <w:br/>
              <w:t>Justin Santo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