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FF7" w:rsidRPr="00730FF7" w:rsidRDefault="00730FF7" w:rsidP="00730F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r w:rsidRPr="00730FF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de-CH"/>
        </w:rPr>
        <w:t xml:space="preserve">Bestimmung der </w:t>
      </w:r>
      <w:proofErr w:type="spellStart"/>
      <w:r w:rsidRPr="00730FF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de-CH"/>
        </w:rPr>
        <w:t>Quartile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br/>
      </w:r>
      <w:r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Um die </w:t>
      </w:r>
      <w:proofErr w:type="spellStart"/>
      <w:r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>Qua</w:t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t>rtile</w:t>
      </w:r>
      <w:proofErr w:type="spellEnd"/>
      <w:r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 zu bestimmen, werden</w:t>
      </w:r>
      <w:r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 die Beobachtungswerte der </w:t>
      </w:r>
      <w:hyperlink r:id="rId7" w:history="1">
        <w:r w:rsidRPr="00730FF7">
          <w:rPr>
            <w:rFonts w:ascii="MathJax_Main" w:eastAsia="Times New Roman" w:hAnsi="MathJax_Main" w:cs="Times New Roman"/>
            <w:sz w:val="30"/>
            <w:szCs w:val="30"/>
            <w:lang w:eastAsia="de-CH"/>
          </w:rPr>
          <w:t>Größe</w:t>
        </w:r>
      </w:hyperlink>
      <w:r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 nach</w:t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 sortiert (geordnet)</w:t>
      </w:r>
      <w:r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 mit dem kleinsten Wert beginnend. </w:t>
      </w:r>
    </w:p>
    <w:p w:rsidR="00730FF7" w:rsidRPr="00730FF7" w:rsidRDefault="00730FF7" w:rsidP="00730FF7">
      <w:pPr>
        <w:spacing w:after="0" w:line="240" w:lineRule="auto"/>
        <w:rPr>
          <w:rFonts w:ascii="MathJax_Main" w:eastAsia="Times New Roman" w:hAnsi="MathJax_Main" w:cs="Times New Roman"/>
          <w:sz w:val="30"/>
          <w:szCs w:val="30"/>
          <w:lang w:eastAsia="de-CH"/>
        </w:rPr>
      </w:pPr>
      <w:r w:rsidRPr="00730FF7">
        <w:rPr>
          <w:rFonts w:ascii="MathJax_Main" w:eastAsia="Times New Roman" w:hAnsi="MathJax_Main" w:cs="Times New Roman"/>
          <w:b/>
          <w:color w:val="0070C0"/>
          <w:sz w:val="30"/>
          <w:szCs w:val="30"/>
          <w:u w:val="single"/>
          <w:lang w:eastAsia="de-CH"/>
        </w:rPr>
        <w:t xml:space="preserve">Ist der </w:t>
      </w:r>
      <w:hyperlink r:id="rId8" w:history="1">
        <w:r w:rsidRPr="00C40279">
          <w:rPr>
            <w:rFonts w:ascii="MathJax_Main" w:eastAsia="Times New Roman" w:hAnsi="MathJax_Main" w:cs="Times New Roman"/>
            <w:b/>
            <w:color w:val="0070C0"/>
            <w:sz w:val="30"/>
            <w:szCs w:val="30"/>
            <w:u w:val="single"/>
            <w:lang w:eastAsia="de-CH"/>
          </w:rPr>
          <w:t>Umfang</w:t>
        </w:r>
      </w:hyperlink>
      <w:r w:rsidRPr="00730FF7">
        <w:rPr>
          <w:rFonts w:ascii="MathJax_Main" w:eastAsia="Times New Roman" w:hAnsi="MathJax_Main" w:cs="Times New Roman"/>
          <w:b/>
          <w:color w:val="0070C0"/>
          <w:sz w:val="30"/>
          <w:szCs w:val="30"/>
          <w:u w:val="single"/>
          <w:lang w:eastAsia="de-CH"/>
        </w:rPr>
        <w:t xml:space="preserve"> N der </w:t>
      </w:r>
      <w:r w:rsidRPr="00C40279">
        <w:rPr>
          <w:rFonts w:ascii="MathJax_Main" w:eastAsia="Times New Roman" w:hAnsi="MathJax_Main" w:cs="Times New Roman"/>
          <w:b/>
          <w:color w:val="0070C0"/>
          <w:sz w:val="30"/>
          <w:szCs w:val="30"/>
          <w:u w:val="single"/>
          <w:lang w:eastAsia="de-CH"/>
        </w:rPr>
        <w:t>Datenreihe</w:t>
      </w:r>
      <w:r w:rsidRPr="00730FF7">
        <w:rPr>
          <w:rFonts w:ascii="MathJax_Main" w:eastAsia="Times New Roman" w:hAnsi="MathJax_Main" w:cs="Times New Roman"/>
          <w:b/>
          <w:color w:val="0070C0"/>
          <w:sz w:val="30"/>
          <w:szCs w:val="30"/>
          <w:u w:val="single"/>
          <w:lang w:eastAsia="de-CH"/>
        </w:rPr>
        <w:t xml:space="preserve"> gerade</w:t>
      </w:r>
      <w:r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>, so teilt der Median die Datenreihe in zwei gleich große Datenhälften</w:t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 (hier: N=14).</w:t>
      </w:r>
    </w:p>
    <w:p w:rsidR="00730FF7" w:rsidRPr="00730FF7" w:rsidRDefault="00C40279" w:rsidP="00730FF7">
      <w:pPr>
        <w:spacing w:after="0" w:line="240" w:lineRule="auto"/>
        <w:rPr>
          <w:rFonts w:ascii="MathJax_Main" w:eastAsia="Times New Roman" w:hAnsi="MathJax_Main" w:cs="Times New Roman"/>
          <w:color w:val="FF0000"/>
          <w:sz w:val="30"/>
          <w:szCs w:val="30"/>
          <w:lang w:eastAsia="de-CH"/>
        </w:rPr>
      </w:pPr>
      <w:r w:rsidRPr="00730FF7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1695781</wp:posOffset>
            </wp:positionH>
            <wp:positionV relativeFrom="paragraph">
              <wp:posOffset>497205</wp:posOffset>
            </wp:positionV>
            <wp:extent cx="2003425" cy="659765"/>
            <wp:effectExtent l="0" t="0" r="0" b="6985"/>
            <wp:wrapTight wrapText="bothSides">
              <wp:wrapPolygon edited="0">
                <wp:start x="0" y="0"/>
                <wp:lineTo x="0" y="21205"/>
                <wp:lineTo x="21360" y="21205"/>
                <wp:lineTo x="21360" y="0"/>
                <wp:lineTo x="0" y="0"/>
              </wp:wrapPolygon>
            </wp:wrapTight>
            <wp:docPr id="3" name="Grafik 3" descr="kem StochS StochSBeSQuB 3 Quartile und Boxp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m StochS StochSBeSQuB 3 Quartile und Boxplo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0FF7"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Die </w:t>
      </w:r>
      <w:proofErr w:type="spellStart"/>
      <w:r w:rsidR="00730FF7"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>Quartile</w:t>
      </w:r>
      <w:proofErr w:type="spellEnd"/>
      <w:r w:rsidR="00730FF7"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 sind </w:t>
      </w:r>
      <w:r w:rsidR="00730FF7" w:rsidRPr="00C40279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dann </w:t>
      </w:r>
      <w:r w:rsidR="00730FF7"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>jeweils die Mediane der Datenhälften.</w:t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br/>
      </w:r>
      <w:r>
        <w:rPr>
          <w:rFonts w:ascii="MathJax_Main" w:eastAsia="Times New Roman" w:hAnsi="MathJax_Main" w:cs="Times New Roman"/>
          <w:color w:val="FF0000"/>
          <w:sz w:val="30"/>
          <w:szCs w:val="30"/>
          <w:lang w:eastAsia="de-CH"/>
        </w:rPr>
        <w:br/>
      </w:r>
      <w:r w:rsidRPr="00C40279">
        <w:rPr>
          <w:rFonts w:ascii="MathJax_Main" w:eastAsia="Times New Roman" w:hAnsi="MathJax_Main" w:cs="Times New Roman"/>
          <w:sz w:val="30"/>
          <w:szCs w:val="30"/>
          <w:lang w:eastAsia="de-CH"/>
        </w:rPr>
        <w:t>Beispiel:</w:t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tab/>
        <w:t>N=14:</w:t>
      </w:r>
    </w:p>
    <w:p w:rsidR="00730FF7" w:rsidRPr="00730FF7" w:rsidRDefault="00730FF7" w:rsidP="0073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730FF7" w:rsidRPr="00730FF7" w:rsidRDefault="00C40279" w:rsidP="00730FF7">
      <w:pPr>
        <w:spacing w:after="0" w:line="240" w:lineRule="auto"/>
        <w:rPr>
          <w:rFonts w:ascii="MathJax_Main" w:eastAsia="Times New Roman" w:hAnsi="MathJax_Main" w:cs="Times New Roman"/>
          <w:sz w:val="30"/>
          <w:szCs w:val="30"/>
          <w:lang w:eastAsia="de-CH"/>
        </w:rPr>
      </w:pPr>
      <w:r w:rsidRPr="00730FF7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1052498</wp:posOffset>
            </wp:positionV>
            <wp:extent cx="2584450" cy="437515"/>
            <wp:effectExtent l="0" t="0" r="6350" b="635"/>
            <wp:wrapTight wrapText="bothSides">
              <wp:wrapPolygon edited="0">
                <wp:start x="0" y="0"/>
                <wp:lineTo x="0" y="20691"/>
                <wp:lineTo x="21494" y="20691"/>
                <wp:lineTo x="21494" y="0"/>
                <wp:lineTo x="0" y="0"/>
              </wp:wrapPolygon>
            </wp:wrapTight>
            <wp:docPr id="2" name="Grafik 2" descr="kem StochS StochSBeSQuB 4 Quartile und Boxp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m StochS StochSBeSQuB 4 Quartile und Boxplo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br/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br/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br/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br/>
      </w:r>
      <w:r w:rsidR="00730FF7"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>Median=1</w:t>
      </w:r>
      <w:r w:rsidR="00730FF7">
        <w:rPr>
          <w:rFonts w:ascii="MathJax_Main" w:eastAsia="Times New Roman" w:hAnsi="MathJax_Main" w:cs="Times New Roman"/>
          <w:sz w:val="30"/>
          <w:szCs w:val="30"/>
          <w:lang w:eastAsia="de-CH"/>
        </w:rPr>
        <w:t>/</w:t>
      </w:r>
      <w:r w:rsidR="00730FF7"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>2</w:t>
      </w:r>
      <w:r w:rsidR="00730FF7">
        <w:rPr>
          <w:rFonts w:ascii="MathJax_Main" w:eastAsia="Times New Roman" w:hAnsi="MathJax_Main" w:cs="Times New Roman"/>
          <w:sz w:val="30"/>
          <w:szCs w:val="30"/>
          <w:lang w:eastAsia="de-CH"/>
        </w:rPr>
        <w:t>*</w:t>
      </w:r>
      <w:r w:rsidR="00730FF7"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>(8+9)=8.5</w:t>
      </w:r>
      <w:r w:rsidR="00730FF7">
        <w:rPr>
          <w:rFonts w:ascii="MathJax_Main" w:eastAsia="Times New Roman" w:hAnsi="MathJax_Main" w:cs="Times New Roman"/>
          <w:sz w:val="30"/>
          <w:szCs w:val="30"/>
          <w:lang w:eastAsia="de-CH"/>
        </w:rPr>
        <w:tab/>
      </w:r>
      <w:r w:rsidR="00730FF7"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>Q1=7</w:t>
      </w:r>
      <w:r w:rsidR="00730FF7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  </w:t>
      </w:r>
      <w:r w:rsidR="00730FF7"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(Wert in der Mitte der unteren Hälfte) </w:t>
      </w:r>
      <w:r w:rsidR="00730FF7">
        <w:rPr>
          <w:rFonts w:ascii="MathJax_Main" w:eastAsia="Times New Roman" w:hAnsi="MathJax_Main" w:cs="Times New Roman"/>
          <w:sz w:val="30"/>
          <w:szCs w:val="30"/>
          <w:lang w:eastAsia="de-CH"/>
        </w:rPr>
        <w:tab/>
      </w:r>
      <w:r w:rsidR="00730FF7">
        <w:rPr>
          <w:rFonts w:ascii="MathJax_Main" w:eastAsia="Times New Roman" w:hAnsi="MathJax_Main" w:cs="Times New Roman"/>
          <w:sz w:val="30"/>
          <w:szCs w:val="30"/>
          <w:lang w:eastAsia="de-CH"/>
        </w:rPr>
        <w:tab/>
      </w:r>
      <w:r w:rsidR="00730FF7">
        <w:rPr>
          <w:rFonts w:ascii="MathJax_Main" w:eastAsia="Times New Roman" w:hAnsi="MathJax_Main" w:cs="Times New Roman"/>
          <w:sz w:val="30"/>
          <w:szCs w:val="30"/>
          <w:lang w:eastAsia="de-CH"/>
        </w:rPr>
        <w:tab/>
      </w:r>
      <w:r w:rsidR="00730FF7">
        <w:rPr>
          <w:rFonts w:ascii="MathJax_Main" w:eastAsia="Times New Roman" w:hAnsi="MathJax_Main" w:cs="Times New Roman"/>
          <w:sz w:val="30"/>
          <w:szCs w:val="30"/>
          <w:lang w:eastAsia="de-CH"/>
        </w:rPr>
        <w:tab/>
      </w:r>
      <w:r w:rsidR="00730FF7">
        <w:rPr>
          <w:rFonts w:ascii="MathJax_Main" w:eastAsia="Times New Roman" w:hAnsi="MathJax_Main" w:cs="Times New Roman"/>
          <w:sz w:val="30"/>
          <w:szCs w:val="30"/>
          <w:lang w:eastAsia="de-CH"/>
        </w:rPr>
        <w:tab/>
      </w:r>
      <w:r w:rsidR="00730FF7">
        <w:rPr>
          <w:rFonts w:ascii="MathJax_Main" w:eastAsia="Times New Roman" w:hAnsi="MathJax_Main" w:cs="Times New Roman"/>
          <w:sz w:val="30"/>
          <w:szCs w:val="30"/>
          <w:lang w:eastAsia="de-CH"/>
        </w:rPr>
        <w:tab/>
      </w:r>
      <w:r w:rsidR="00730FF7"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>Q3=13(Wert in der Mitte der oberen Hälfte)</w:t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br/>
      </w:r>
      <w:r w:rsidR="00730FF7">
        <w:rPr>
          <w:rFonts w:ascii="MathJax_Main" w:eastAsia="Times New Roman" w:hAnsi="MathJax_Main" w:cs="Times New Roman"/>
          <w:sz w:val="30"/>
          <w:szCs w:val="30"/>
          <w:lang w:eastAsia="de-CH"/>
        </w:rPr>
        <w:br/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tab/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tab/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br/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tab/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tab/>
      </w:r>
      <w:r w:rsidR="00730FF7">
        <w:rPr>
          <w:rFonts w:ascii="MathJax_Main" w:eastAsia="Times New Roman" w:hAnsi="MathJax_Main" w:cs="Times New Roman"/>
          <w:sz w:val="30"/>
          <w:szCs w:val="30"/>
          <w:lang w:eastAsia="de-CH"/>
        </w:rPr>
        <w:t>N=16:</w:t>
      </w:r>
    </w:p>
    <w:p w:rsidR="00730FF7" w:rsidRPr="00730FF7" w:rsidRDefault="00730FF7" w:rsidP="0073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730FF7" w:rsidRPr="00730FF7" w:rsidRDefault="00730FF7" w:rsidP="00730FF7">
      <w:pPr>
        <w:spacing w:after="0" w:line="240" w:lineRule="auto"/>
        <w:rPr>
          <w:rFonts w:ascii="MathJax_Main" w:eastAsia="Times New Roman" w:hAnsi="MathJax_Main" w:cs="Times New Roman"/>
          <w:sz w:val="30"/>
          <w:szCs w:val="30"/>
          <w:lang w:eastAsia="de-CH"/>
        </w:rPr>
      </w:pPr>
      <w:r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>Median=1</w:t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t>/</w:t>
      </w:r>
      <w:r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>2</w:t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t>*</w:t>
      </w:r>
      <w:r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(8+9)=8.5 </w:t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tab/>
      </w:r>
      <w:r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>Q1=1</w:t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t>/</w:t>
      </w:r>
      <w:r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>2</w:t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t>*</w:t>
      </w:r>
      <w:r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(5+7)=6 </w:t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     </w:t>
      </w:r>
      <w:r w:rsidR="00C40279">
        <w:rPr>
          <w:rFonts w:ascii="MathJax_Main" w:eastAsia="Times New Roman" w:hAnsi="MathJax_Main" w:cs="Times New Roman"/>
          <w:sz w:val="30"/>
          <w:szCs w:val="30"/>
          <w:lang w:eastAsia="de-CH"/>
        </w:rPr>
        <w:br/>
      </w:r>
      <w:r w:rsidR="00C40279">
        <w:rPr>
          <w:rFonts w:ascii="MathJax_Main" w:eastAsia="Times New Roman" w:hAnsi="MathJax_Main" w:cs="Times New Roman"/>
          <w:sz w:val="30"/>
          <w:szCs w:val="30"/>
          <w:lang w:eastAsia="de-CH"/>
        </w:rPr>
        <w:tab/>
      </w:r>
      <w:r w:rsidR="00C40279">
        <w:rPr>
          <w:rFonts w:ascii="MathJax_Main" w:eastAsia="Times New Roman" w:hAnsi="MathJax_Main" w:cs="Times New Roman"/>
          <w:sz w:val="30"/>
          <w:szCs w:val="30"/>
          <w:lang w:eastAsia="de-CH"/>
        </w:rPr>
        <w:tab/>
      </w:r>
      <w:r w:rsidR="00C40279">
        <w:rPr>
          <w:rFonts w:ascii="MathJax_Main" w:eastAsia="Times New Roman" w:hAnsi="MathJax_Main" w:cs="Times New Roman"/>
          <w:sz w:val="30"/>
          <w:szCs w:val="30"/>
          <w:lang w:eastAsia="de-CH"/>
        </w:rPr>
        <w:tab/>
      </w:r>
      <w:r w:rsidR="00C40279">
        <w:rPr>
          <w:rFonts w:ascii="MathJax_Main" w:eastAsia="Times New Roman" w:hAnsi="MathJax_Main" w:cs="Times New Roman"/>
          <w:sz w:val="30"/>
          <w:szCs w:val="30"/>
          <w:lang w:eastAsia="de-CH"/>
        </w:rPr>
        <w:tab/>
      </w:r>
      <w:r w:rsidR="00C40279">
        <w:rPr>
          <w:rFonts w:ascii="MathJax_Main" w:eastAsia="Times New Roman" w:hAnsi="MathJax_Main" w:cs="Times New Roman"/>
          <w:sz w:val="30"/>
          <w:szCs w:val="30"/>
          <w:lang w:eastAsia="de-CH"/>
        </w:rPr>
        <w:tab/>
      </w:r>
      <w:r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>Q3=1</w:t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t>/</w:t>
      </w:r>
      <w:r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>2</w:t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t>*</w:t>
      </w:r>
      <w:r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(13+13)=13 </w:t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br/>
      </w:r>
    </w:p>
    <w:p w:rsidR="00730FF7" w:rsidRPr="00730FF7" w:rsidRDefault="00730FF7" w:rsidP="00730FF7">
      <w:pPr>
        <w:spacing w:after="0" w:line="240" w:lineRule="auto"/>
        <w:rPr>
          <w:rFonts w:ascii="MathJax_Main" w:eastAsia="Times New Roman" w:hAnsi="MathJax_Main" w:cs="Times New Roman"/>
          <w:sz w:val="30"/>
          <w:szCs w:val="30"/>
          <w:lang w:eastAsia="de-CH"/>
        </w:rPr>
      </w:pPr>
      <w:r w:rsidRPr="00730FF7">
        <w:rPr>
          <w:rFonts w:ascii="MathJax_Main" w:eastAsia="Times New Roman" w:hAnsi="MathJax_Main" w:cs="Times New Roman"/>
          <w:b/>
          <w:color w:val="0070C0"/>
          <w:sz w:val="30"/>
          <w:szCs w:val="30"/>
          <w:u w:val="single"/>
          <w:lang w:eastAsia="de-CH"/>
        </w:rPr>
        <w:t>Ist der Umfang N der Datenreihe ungerade</w:t>
      </w:r>
      <w:r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, so ist der Median der Wert in der Mitte. </w:t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Für die </w:t>
      </w:r>
      <w:proofErr w:type="spellStart"/>
      <w:r>
        <w:rPr>
          <w:rFonts w:ascii="MathJax_Main" w:eastAsia="Times New Roman" w:hAnsi="MathJax_Main" w:cs="Times New Roman"/>
          <w:sz w:val="30"/>
          <w:szCs w:val="30"/>
          <w:lang w:eastAsia="de-CH"/>
        </w:rPr>
        <w:t>Quartile</w:t>
      </w:r>
      <w:proofErr w:type="spellEnd"/>
      <w:r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 Q1 und Q3 gibt es nun zwei Fälle:</w:t>
      </w:r>
    </w:p>
    <w:p w:rsidR="00730FF7" w:rsidRPr="00730FF7" w:rsidRDefault="00730FF7" w:rsidP="00730FF7">
      <w:pPr>
        <w:spacing w:after="0" w:line="240" w:lineRule="auto"/>
        <w:rPr>
          <w:rFonts w:ascii="MathJax_Main" w:eastAsia="Times New Roman" w:hAnsi="MathJax_Main" w:cs="Times New Roman"/>
          <w:sz w:val="30"/>
          <w:szCs w:val="30"/>
          <w:lang w:eastAsia="de-CH"/>
        </w:rPr>
      </w:pPr>
      <w:r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  </w:t>
      </w:r>
    </w:p>
    <w:p w:rsidR="00730FF7" w:rsidRPr="00730FF7" w:rsidRDefault="00C40279" w:rsidP="0073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730FF7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917216</wp:posOffset>
            </wp:positionV>
            <wp:extent cx="2106930" cy="659765"/>
            <wp:effectExtent l="0" t="0" r="7620" b="6985"/>
            <wp:wrapTight wrapText="bothSides">
              <wp:wrapPolygon edited="0">
                <wp:start x="0" y="0"/>
                <wp:lineTo x="0" y="21205"/>
                <wp:lineTo x="21483" y="21205"/>
                <wp:lineTo x="21483" y="0"/>
                <wp:lineTo x="0" y="0"/>
              </wp:wrapPolygon>
            </wp:wrapTight>
            <wp:docPr id="1" name="Grafik 1" descr="kem StochS StochSBeSQuB 5 Quartile und Boxp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m StochS StochSBeSQuB 5 Quartile und Boxplo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0FF7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a) </w:t>
      </w:r>
      <w:r w:rsidR="00730FF7"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>Enthalten auch die verbleibenden Datenhälften eine ungerade Anzahl von</w:t>
      </w:r>
      <w:r w:rsidR="00730FF7">
        <w:rPr>
          <w:rFonts w:ascii="MathJax_Main" w:eastAsia="Times New Roman" w:hAnsi="MathJax_Main" w:cs="Times New Roman"/>
          <w:sz w:val="30"/>
          <w:szCs w:val="30"/>
          <w:lang w:eastAsia="de-CH"/>
        </w:rPr>
        <w:br/>
        <w:t xml:space="preserve">    </w:t>
      </w:r>
      <w:r w:rsidR="00730FF7"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 Datenwerten, nimmst du als erstes oder drittes </w:t>
      </w:r>
      <w:proofErr w:type="spellStart"/>
      <w:r w:rsidR="00730FF7"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>Quartil</w:t>
      </w:r>
      <w:proofErr w:type="spellEnd"/>
      <w:r w:rsidR="00730FF7"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 wieder jeweils </w:t>
      </w:r>
      <w:r w:rsidR="00730FF7">
        <w:rPr>
          <w:rFonts w:ascii="MathJax_Main" w:eastAsia="Times New Roman" w:hAnsi="MathJax_Main" w:cs="Times New Roman"/>
          <w:sz w:val="30"/>
          <w:szCs w:val="30"/>
          <w:lang w:eastAsia="de-CH"/>
        </w:rPr>
        <w:br/>
        <w:t xml:space="preserve">     </w:t>
      </w:r>
      <w:r w:rsidR="00730FF7"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>davon den Median, also den Wert in der Mitte.</w:t>
      </w:r>
      <w:r w:rsidR="00730FF7" w:rsidRPr="00730FF7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br/>
      </w:r>
      <w:r w:rsidRPr="00C40279">
        <w:rPr>
          <w:rFonts w:ascii="MathJax_Main" w:eastAsia="Times New Roman" w:hAnsi="MathJax_Main" w:cs="Times New Roman"/>
          <w:sz w:val="30"/>
          <w:szCs w:val="30"/>
          <w:lang w:eastAsia="de-CH"/>
        </w:rPr>
        <w:t>Beispiel:</w:t>
      </w:r>
      <w:r w:rsidRPr="00C40279">
        <w:rPr>
          <w:rFonts w:ascii="MathJax_Main" w:eastAsia="Times New Roman" w:hAnsi="MathJax_Main" w:cs="Times New Roman"/>
          <w:sz w:val="30"/>
          <w:szCs w:val="30"/>
          <w:lang w:eastAsia="de-CH"/>
        </w:rPr>
        <w:tab/>
        <w:t>N=14:</w:t>
      </w:r>
      <w:r w:rsidRPr="00C40279">
        <w:rPr>
          <w:rFonts w:ascii="MathJax_Main" w:eastAsia="Times New Roman" w:hAnsi="MathJax_Main" w:cs="Times New Roman"/>
          <w:sz w:val="30"/>
          <w:szCs w:val="30"/>
          <w:lang w:eastAsia="de-CH"/>
        </w:rPr>
        <w:br/>
      </w:r>
    </w:p>
    <w:p w:rsidR="00730FF7" w:rsidRPr="00730FF7" w:rsidRDefault="00730FF7" w:rsidP="00730FF7">
      <w:pPr>
        <w:spacing w:after="0" w:line="240" w:lineRule="auto"/>
        <w:rPr>
          <w:rFonts w:ascii="MathJax_Main" w:eastAsia="Times New Roman" w:hAnsi="MathJax_Main" w:cs="Times New Roman"/>
          <w:sz w:val="30"/>
          <w:szCs w:val="30"/>
          <w:lang w:eastAsia="de-CH"/>
        </w:rPr>
      </w:pPr>
      <w:r>
        <w:rPr>
          <w:rFonts w:ascii="MathJax_Main" w:eastAsia="Times New Roman" w:hAnsi="MathJax_Main" w:cs="Times New Roman"/>
          <w:sz w:val="30"/>
          <w:szCs w:val="30"/>
          <w:lang w:eastAsia="de-CH"/>
        </w:rPr>
        <w:br/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br/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br/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br/>
      </w:r>
      <w:r w:rsidR="00C40279">
        <w:rPr>
          <w:rFonts w:ascii="MathJax_Main" w:eastAsia="Times New Roman" w:hAnsi="MathJax_Main" w:cs="Times New Roman"/>
          <w:sz w:val="30"/>
          <w:szCs w:val="30"/>
          <w:lang w:eastAsia="de-CH"/>
        </w:rPr>
        <w:br/>
      </w:r>
      <w:r w:rsidR="00C40279">
        <w:rPr>
          <w:rFonts w:ascii="MathJax_Main" w:eastAsia="Times New Roman" w:hAnsi="MathJax_Main" w:cs="Times New Roman"/>
          <w:sz w:val="30"/>
          <w:szCs w:val="30"/>
          <w:lang w:eastAsia="de-CH"/>
        </w:rPr>
        <w:br/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b) </w:t>
      </w:r>
      <w:r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>Für den Fall, dass die beiden verbleibenden Datenhälften jeweils eine</w:t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br/>
        <w:t xml:space="preserve">    </w:t>
      </w:r>
      <w:r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 gerade Anzahl von Datenwerten enthalten, </w:t>
      </w:r>
      <w:r w:rsidR="00C40279">
        <w:rPr>
          <w:rFonts w:ascii="MathJax_Main" w:eastAsia="Times New Roman" w:hAnsi="MathJax_Main" w:cs="Times New Roman"/>
          <w:sz w:val="30"/>
          <w:szCs w:val="30"/>
          <w:lang w:eastAsia="de-CH"/>
        </w:rPr>
        <w:t>so gilt wiederum</w:t>
      </w:r>
      <w:r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: </w:t>
      </w:r>
    </w:p>
    <w:p w:rsidR="00730FF7" w:rsidRPr="00730FF7" w:rsidRDefault="00C40279" w:rsidP="00730FF7">
      <w:pPr>
        <w:spacing w:after="0" w:line="240" w:lineRule="auto"/>
        <w:rPr>
          <w:rFonts w:ascii="MathJax_Main" w:eastAsia="Times New Roman" w:hAnsi="MathJax_Main" w:cs="Times New Roman"/>
          <w:sz w:val="30"/>
          <w:szCs w:val="30"/>
          <w:lang w:eastAsia="de-CH"/>
        </w:rPr>
      </w:pPr>
      <w:r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     Das Quartil ist</w:t>
      </w:r>
      <w:r w:rsidR="00730FF7"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 der Median der jewe</w:t>
      </w:r>
      <w:r>
        <w:rPr>
          <w:rFonts w:ascii="MathJax_Main" w:eastAsia="Times New Roman" w:hAnsi="MathJax_Main" w:cs="Times New Roman"/>
          <w:sz w:val="30"/>
          <w:szCs w:val="30"/>
          <w:lang w:eastAsia="de-CH"/>
        </w:rPr>
        <w:t>iligen Datenhälfte</w:t>
      </w:r>
      <w:r w:rsidR="00730FF7" w:rsidRPr="00730FF7">
        <w:rPr>
          <w:rFonts w:ascii="MathJax_Main" w:eastAsia="Times New Roman" w:hAnsi="MathJax_Main" w:cs="Times New Roman"/>
          <w:sz w:val="30"/>
          <w:szCs w:val="30"/>
          <w:lang w:eastAsia="de-CH"/>
        </w:rPr>
        <w:t xml:space="preserve">. </w:t>
      </w:r>
    </w:p>
    <w:p w:rsidR="00730FF7" w:rsidRPr="00730FF7" w:rsidRDefault="00730FF7" w:rsidP="00730FF7">
      <w:pPr>
        <w:rPr>
          <w:rFonts w:ascii="Tahoma" w:hAnsi="Tahoma" w:cs="Tahoma"/>
          <w:sz w:val="18"/>
          <w:szCs w:val="18"/>
        </w:rPr>
      </w:pPr>
      <w:bookmarkStart w:id="0" w:name="_GoBack"/>
      <w:bookmarkEnd w:id="0"/>
    </w:p>
    <w:sectPr w:rsidR="00730FF7" w:rsidRPr="00730FF7" w:rsidSect="00C86A50">
      <w:headerReference w:type="default" r:id="rId12"/>
      <w:pgSz w:w="11906" w:h="16838"/>
      <w:pgMar w:top="851" w:right="849" w:bottom="568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FBC" w:rsidRDefault="00694FBC" w:rsidP="00D763E9">
      <w:pPr>
        <w:spacing w:after="0" w:line="240" w:lineRule="auto"/>
      </w:pPr>
      <w:r>
        <w:separator/>
      </w:r>
    </w:p>
  </w:endnote>
  <w:endnote w:type="continuationSeparator" w:id="0">
    <w:p w:rsidR="00694FBC" w:rsidRDefault="00694FBC" w:rsidP="00D7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FBC" w:rsidRDefault="00694FBC" w:rsidP="00D763E9">
      <w:pPr>
        <w:spacing w:after="0" w:line="240" w:lineRule="auto"/>
      </w:pPr>
      <w:r>
        <w:separator/>
      </w:r>
    </w:p>
  </w:footnote>
  <w:footnote w:type="continuationSeparator" w:id="0">
    <w:p w:rsidR="00694FBC" w:rsidRDefault="00694FBC" w:rsidP="00D7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3E9" w:rsidRDefault="00D763E9" w:rsidP="00D763E9">
    <w:pPr>
      <w:pStyle w:val="Kopfzeile"/>
      <w:tabs>
        <w:tab w:val="clear" w:pos="9072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D763E9" w:rsidRDefault="00D763E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D058E"/>
    <w:multiLevelType w:val="hybridMultilevel"/>
    <w:tmpl w:val="755477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218F0"/>
    <w:multiLevelType w:val="hybridMultilevel"/>
    <w:tmpl w:val="AAD4FFA6"/>
    <w:lvl w:ilvl="0" w:tplc="08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BB"/>
    <w:rsid w:val="0003397E"/>
    <w:rsid w:val="00065FF0"/>
    <w:rsid w:val="0009232C"/>
    <w:rsid w:val="000A4616"/>
    <w:rsid w:val="000A5339"/>
    <w:rsid w:val="000D3FF8"/>
    <w:rsid w:val="00127F0E"/>
    <w:rsid w:val="00196CC0"/>
    <w:rsid w:val="001A2953"/>
    <w:rsid w:val="001E7319"/>
    <w:rsid w:val="00210DA2"/>
    <w:rsid w:val="00235332"/>
    <w:rsid w:val="00283827"/>
    <w:rsid w:val="002A11F7"/>
    <w:rsid w:val="002C5312"/>
    <w:rsid w:val="002D7346"/>
    <w:rsid w:val="002E0256"/>
    <w:rsid w:val="00332CB7"/>
    <w:rsid w:val="00375BBB"/>
    <w:rsid w:val="003E7DAB"/>
    <w:rsid w:val="003F106A"/>
    <w:rsid w:val="00410133"/>
    <w:rsid w:val="00430F71"/>
    <w:rsid w:val="00466C43"/>
    <w:rsid w:val="00473CB7"/>
    <w:rsid w:val="00491609"/>
    <w:rsid w:val="004D7BDA"/>
    <w:rsid w:val="0050658D"/>
    <w:rsid w:val="00571BBF"/>
    <w:rsid w:val="005806A0"/>
    <w:rsid w:val="00580AEF"/>
    <w:rsid w:val="00586FAF"/>
    <w:rsid w:val="005C188D"/>
    <w:rsid w:val="005C3BD4"/>
    <w:rsid w:val="005F170C"/>
    <w:rsid w:val="00610433"/>
    <w:rsid w:val="00646C49"/>
    <w:rsid w:val="00656097"/>
    <w:rsid w:val="00685830"/>
    <w:rsid w:val="00694FBC"/>
    <w:rsid w:val="006E09AC"/>
    <w:rsid w:val="006F7E21"/>
    <w:rsid w:val="00730FF7"/>
    <w:rsid w:val="0078276B"/>
    <w:rsid w:val="007C242A"/>
    <w:rsid w:val="00847AE9"/>
    <w:rsid w:val="0086202C"/>
    <w:rsid w:val="00897B1D"/>
    <w:rsid w:val="00932E71"/>
    <w:rsid w:val="0096632E"/>
    <w:rsid w:val="009753FD"/>
    <w:rsid w:val="009D6AD3"/>
    <w:rsid w:val="009E4E48"/>
    <w:rsid w:val="00A120C7"/>
    <w:rsid w:val="00A54F18"/>
    <w:rsid w:val="00A80E8C"/>
    <w:rsid w:val="00A94A76"/>
    <w:rsid w:val="00AB4A7E"/>
    <w:rsid w:val="00AE03AB"/>
    <w:rsid w:val="00AF7167"/>
    <w:rsid w:val="00B136DE"/>
    <w:rsid w:val="00B24EA4"/>
    <w:rsid w:val="00B94830"/>
    <w:rsid w:val="00B979BE"/>
    <w:rsid w:val="00BC286C"/>
    <w:rsid w:val="00C40279"/>
    <w:rsid w:val="00C4676D"/>
    <w:rsid w:val="00C56D5B"/>
    <w:rsid w:val="00C86A50"/>
    <w:rsid w:val="00CE1C26"/>
    <w:rsid w:val="00D24EB3"/>
    <w:rsid w:val="00D55852"/>
    <w:rsid w:val="00D763E9"/>
    <w:rsid w:val="00DA4609"/>
    <w:rsid w:val="00DB7E9E"/>
    <w:rsid w:val="00DC5F33"/>
    <w:rsid w:val="00DE23B8"/>
    <w:rsid w:val="00E040C9"/>
    <w:rsid w:val="00E37C9B"/>
    <w:rsid w:val="00E37D28"/>
    <w:rsid w:val="00E42070"/>
    <w:rsid w:val="00E879A8"/>
    <w:rsid w:val="00EE1781"/>
    <w:rsid w:val="00F30B2A"/>
    <w:rsid w:val="00F4166C"/>
    <w:rsid w:val="00FF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3D3495"/>
  <w15:chartTrackingRefBased/>
  <w15:docId w15:val="{1CCBE2D3-6F17-4264-BCD4-18A77E5F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730F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4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40C9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C188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76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63E9"/>
  </w:style>
  <w:style w:type="paragraph" w:styleId="Fuzeile">
    <w:name w:val="footer"/>
    <w:basedOn w:val="Standard"/>
    <w:link w:val="FuzeileZchn"/>
    <w:uiPriority w:val="99"/>
    <w:unhideWhenUsed/>
    <w:rsid w:val="00D76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63E9"/>
  </w:style>
  <w:style w:type="character" w:styleId="Platzhaltertext">
    <w:name w:val="Placeholder Text"/>
    <w:basedOn w:val="Absatz-Standardschriftart"/>
    <w:uiPriority w:val="99"/>
    <w:semiHidden/>
    <w:rsid w:val="00466C43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0FF7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730FF7"/>
    <w:rPr>
      <w:color w:val="0000FF"/>
      <w:u w:val="single"/>
    </w:rPr>
  </w:style>
  <w:style w:type="character" w:customStyle="1" w:styleId="mtext">
    <w:name w:val="mtext"/>
    <w:basedOn w:val="Absatz-Standardschriftart"/>
    <w:rsid w:val="00730FF7"/>
  </w:style>
  <w:style w:type="character" w:customStyle="1" w:styleId="mi">
    <w:name w:val="mi"/>
    <w:basedOn w:val="Absatz-Standardschriftart"/>
    <w:rsid w:val="00730FF7"/>
  </w:style>
  <w:style w:type="character" w:customStyle="1" w:styleId="mo">
    <w:name w:val="mo"/>
    <w:basedOn w:val="Absatz-Standardschriftart"/>
    <w:rsid w:val="00730FF7"/>
  </w:style>
  <w:style w:type="character" w:customStyle="1" w:styleId="mn">
    <w:name w:val="mn"/>
    <w:basedOn w:val="Absatz-Standardschriftart"/>
    <w:rsid w:val="00730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bettermarks.com/mathe-glossar/umfa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.bettermarks.com/mathe-glossar/groesse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Wunderli</dc:creator>
  <cp:keywords/>
  <dc:description/>
  <cp:lastModifiedBy>Peter Wunderli</cp:lastModifiedBy>
  <cp:revision>2</cp:revision>
  <cp:lastPrinted>2017-04-29T06:49:00Z</cp:lastPrinted>
  <dcterms:created xsi:type="dcterms:W3CDTF">2017-04-29T07:25:00Z</dcterms:created>
  <dcterms:modified xsi:type="dcterms:W3CDTF">2017-04-29T07:25:00Z</dcterms:modified>
</cp:coreProperties>
</file>