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95" w:rsidRPr="00370104" w:rsidRDefault="003F17FF" w:rsidP="00465295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634A37">
        <w:rPr>
          <w:rFonts w:ascii="Tahoma" w:hAnsi="Tahoma" w:cs="Tahoma"/>
          <w:noProof/>
          <w:lang w:eastAsia="de-CH"/>
        </w:rPr>
        <w:drawing>
          <wp:inline distT="0" distB="0" distL="0" distR="0">
            <wp:extent cx="2867025" cy="15906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no_Bil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6" w:rsidRDefault="001A23B6"/>
    <w:p w:rsidR="00615993" w:rsidRDefault="00634A37" w:rsidP="007B6D84">
      <w:pPr>
        <w:spacing w:after="120"/>
        <w:rPr>
          <w:rFonts w:ascii="Tahoma" w:hAnsi="Tahoma" w:cs="Tahoma"/>
          <w:color w:val="002060"/>
          <w:sz w:val="36"/>
          <w:szCs w:val="36"/>
        </w:rPr>
      </w:pPr>
      <w:r w:rsidRPr="00E87A35">
        <w:rPr>
          <w:rFonts w:ascii="Tahoma" w:hAnsi="Tahoma" w:cs="Tahoma"/>
          <w:color w:val="002060"/>
          <w:sz w:val="36"/>
          <w:szCs w:val="36"/>
        </w:rPr>
        <w:t>Auftrag Casino</w:t>
      </w:r>
    </w:p>
    <w:p w:rsidR="00207D78" w:rsidRDefault="00B0491E" w:rsidP="00207D78">
      <w:pPr>
        <w:spacing w:after="120"/>
        <w:rPr>
          <w:rFonts w:cstheme="minorHAnsi"/>
        </w:rPr>
      </w:pPr>
      <w:r>
        <w:rPr>
          <w:rFonts w:ascii="Tahoma" w:hAnsi="Tahoma" w:cs="Tahoma"/>
          <w:color w:val="00B0F0"/>
          <w:sz w:val="36"/>
          <w:szCs w:val="36"/>
        </w:rPr>
        <w:br/>
      </w:r>
      <w:r w:rsidR="00207D78" w:rsidRPr="00D6504E">
        <w:rPr>
          <w:rFonts w:cstheme="minorHAnsi"/>
          <w:u w:val="single"/>
        </w:rPr>
        <w:t>Sozialform</w:t>
      </w:r>
      <w:r w:rsidR="00207D78">
        <w:rPr>
          <w:rFonts w:cstheme="minorHAnsi"/>
        </w:rPr>
        <w:t>:</w:t>
      </w:r>
      <w:r w:rsidR="00207D78">
        <w:rPr>
          <w:rFonts w:cstheme="minorHAnsi"/>
        </w:rPr>
        <w:br/>
        <w:t>Gruppenarbeit (die Gruppe besteht aus 3 bis 6 Lernenden je nach Grösse der Klasse). Insgesamt gibt es 4 Gruppen.</w:t>
      </w:r>
      <w:r w:rsidR="00207D78">
        <w:rPr>
          <w:rFonts w:cstheme="minorHAnsi"/>
        </w:rPr>
        <w:br/>
      </w:r>
      <w:r w:rsidR="00207D78" w:rsidRPr="00D6504E">
        <w:rPr>
          <w:rFonts w:cstheme="minorHAnsi"/>
          <w:u w:val="single"/>
        </w:rPr>
        <w:t>Arbeitsschritte</w:t>
      </w:r>
      <w:r w:rsidR="00207D78">
        <w:rPr>
          <w:rFonts w:cstheme="minorHAnsi"/>
        </w:rPr>
        <w:t>:</w:t>
      </w:r>
      <w:r w:rsidR="00207D78">
        <w:rPr>
          <w:rFonts w:cstheme="minorHAnsi"/>
        </w:rPr>
        <w:br/>
        <w:t xml:space="preserve">→ </w:t>
      </w:r>
      <w:r w:rsidR="00207D78" w:rsidRPr="00B0491E">
        <w:rPr>
          <w:rFonts w:cstheme="minorHAnsi"/>
        </w:rPr>
        <w:t xml:space="preserve">Sie </w:t>
      </w:r>
      <w:r w:rsidR="00207D78">
        <w:rPr>
          <w:rFonts w:cstheme="minorHAnsi"/>
        </w:rPr>
        <w:t>lösen alle 19 Fragen des Auftrages und halten die Antworten schriftlich fest.</w:t>
      </w:r>
      <w:r w:rsidR="00207D78">
        <w:rPr>
          <w:rFonts w:cstheme="minorHAnsi"/>
        </w:rPr>
        <w:br/>
        <w:t xml:space="preserve">→ Jede Gruppe erhält– in Absprache mit der Lehrperson -  eine Nummer.  Zwei Personen aus den jeweiligen Gruppen präsentieren mit Hilfe der festgehaltenen Antworten die der Gruppe zugeteilten Fragenummern.  </w:t>
      </w:r>
      <w:r w:rsidR="00207D78">
        <w:rPr>
          <w:rFonts w:cstheme="minorHAnsi"/>
        </w:rPr>
        <w:br/>
      </w:r>
      <w:r w:rsidR="00207D78" w:rsidRPr="00D6504E">
        <w:rPr>
          <w:rFonts w:cstheme="minorHAnsi"/>
          <w:u w:val="single"/>
        </w:rPr>
        <w:t>Zeitgefäss</w:t>
      </w:r>
      <w:r w:rsidR="00207D78">
        <w:rPr>
          <w:rFonts w:cstheme="minorHAnsi"/>
        </w:rPr>
        <w:t>: 45 Minuten</w:t>
      </w:r>
      <w:r w:rsidR="00207D78">
        <w:rPr>
          <w:rFonts w:cstheme="minorHAnsi"/>
        </w:rPr>
        <w:br/>
      </w:r>
      <w:r w:rsidR="00207D78" w:rsidRPr="00D6504E">
        <w:rPr>
          <w:rFonts w:cstheme="minorHAnsi"/>
          <w:u w:val="single"/>
        </w:rPr>
        <w:t>Hilfsmittel</w:t>
      </w:r>
      <w:r w:rsidR="00207D78">
        <w:rPr>
          <w:rFonts w:cstheme="minorHAnsi"/>
        </w:rPr>
        <w:t>: Internet (insbesondere Geschäftsberichte Grand Casino Baden und Schweizer Casino Verband)</w:t>
      </w:r>
    </w:p>
    <w:p w:rsidR="00634A37" w:rsidRDefault="00634A37"/>
    <w:p w:rsidR="00B0491E" w:rsidRPr="00B0491E" w:rsidRDefault="00207D78">
      <w:pPr>
        <w:rPr>
          <w:u w:val="single"/>
        </w:rPr>
      </w:pPr>
      <w:r>
        <w:rPr>
          <w:u w:val="single"/>
        </w:rPr>
        <w:t xml:space="preserve">Gruppe </w:t>
      </w:r>
      <w:r w:rsidR="00B0491E" w:rsidRPr="00B0491E">
        <w:rPr>
          <w:u w:val="single"/>
        </w:rPr>
        <w:t>1</w:t>
      </w:r>
    </w:p>
    <w:p w:rsidR="00634A37" w:rsidRDefault="002A6A58" w:rsidP="00634A37">
      <w:pPr>
        <w:pStyle w:val="Listenabsatz"/>
        <w:numPr>
          <w:ilvl w:val="0"/>
          <w:numId w:val="1"/>
        </w:numPr>
      </w:pPr>
      <w:r>
        <w:t>Was ist genau ein Casino?</w:t>
      </w:r>
      <w:r>
        <w:br/>
      </w:r>
      <w:r w:rsidRPr="002A6A58">
        <w:rPr>
          <w:color w:val="002060"/>
        </w:rPr>
        <w:t>ist eine öffentlich zugängliche Einrichtung, in der staatlich konzessioniertes Glückspiel betrieben wird. Das heisst, dass der Staat eine behördliche Bewilligung für das Betreiben eines Casinos abgeben muss.</w:t>
      </w:r>
    </w:p>
    <w:p w:rsidR="00634A37" w:rsidRDefault="00634A37" w:rsidP="00634A37">
      <w:pPr>
        <w:pStyle w:val="Listenabsatz"/>
        <w:numPr>
          <w:ilvl w:val="0"/>
          <w:numId w:val="1"/>
        </w:numPr>
      </w:pPr>
      <w:r>
        <w:t xml:space="preserve">Kennen Sie Synonyme für Casino? </w:t>
      </w:r>
      <w:r w:rsidR="002A6A58">
        <w:br/>
      </w:r>
      <w:r w:rsidR="002A6A58" w:rsidRPr="002A6A58">
        <w:rPr>
          <w:color w:val="002060"/>
        </w:rPr>
        <w:t>Spielbank, Spielcasino</w:t>
      </w:r>
    </w:p>
    <w:p w:rsidR="002A6A58" w:rsidRPr="002A6A58" w:rsidRDefault="00E42424" w:rsidP="00634A37">
      <w:pPr>
        <w:pStyle w:val="Listenabsatz"/>
        <w:numPr>
          <w:ilvl w:val="0"/>
          <w:numId w:val="1"/>
        </w:numPr>
        <w:rPr>
          <w:color w:val="002060"/>
        </w:rPr>
      </w:pPr>
      <w:r>
        <w:t xml:space="preserve">Nach welchem politischen Anlass wurden 1920 </w:t>
      </w:r>
      <w:r w:rsidR="00CB7F93">
        <w:t xml:space="preserve">Casino </w:t>
      </w:r>
      <w:r>
        <w:t>verboten?</w:t>
      </w:r>
      <w:r w:rsidR="002A6A58">
        <w:br/>
      </w:r>
      <w:r w:rsidR="002A6A58" w:rsidRPr="002A6A58">
        <w:rPr>
          <w:color w:val="002060"/>
        </w:rPr>
        <w:t>Volksabstimmung vom 21.03 1920 für ein Verbot der Errichtung von Spielbanken.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4"/>
        <w:gridCol w:w="824"/>
        <w:gridCol w:w="520"/>
        <w:gridCol w:w="802"/>
      </w:tblGrid>
      <w:tr w:rsidR="002A6A58" w:rsidRPr="002A6A58" w:rsidTr="002A6A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6A58" w:rsidRPr="002A6A58" w:rsidRDefault="002A6A58" w:rsidP="002A6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</w:pPr>
          </w:p>
        </w:tc>
        <w:tc>
          <w:tcPr>
            <w:tcW w:w="0" w:type="auto"/>
            <w:vAlign w:val="center"/>
            <w:hideMark/>
          </w:tcPr>
          <w:p w:rsidR="002A6A58" w:rsidRPr="002A6A58" w:rsidRDefault="002A6A58" w:rsidP="002A6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</w:pPr>
            <w:r w:rsidRPr="002A6A58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:rsidR="002A6A58" w:rsidRPr="002A6A58" w:rsidRDefault="002A6A58" w:rsidP="002A6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</w:pPr>
            <w:r w:rsidRPr="002A6A58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  <w:t>Nein</w:t>
            </w:r>
          </w:p>
        </w:tc>
        <w:tc>
          <w:tcPr>
            <w:tcW w:w="0" w:type="auto"/>
            <w:vAlign w:val="center"/>
            <w:hideMark/>
          </w:tcPr>
          <w:p w:rsidR="002A6A58" w:rsidRPr="002A6A58" w:rsidRDefault="002A6A58" w:rsidP="002A6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</w:pPr>
            <w:r w:rsidRPr="002A6A58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  <w:t>% Ja</w:t>
            </w:r>
          </w:p>
        </w:tc>
        <w:tc>
          <w:tcPr>
            <w:tcW w:w="0" w:type="auto"/>
            <w:vAlign w:val="center"/>
            <w:hideMark/>
          </w:tcPr>
          <w:p w:rsidR="002A6A58" w:rsidRPr="002A6A58" w:rsidRDefault="002A6A58" w:rsidP="002A6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</w:pPr>
            <w:r w:rsidRPr="002A6A58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  <w:t>% Nein</w:t>
            </w:r>
          </w:p>
        </w:tc>
      </w:tr>
      <w:tr w:rsidR="002A6A58" w:rsidRPr="002A6A58" w:rsidTr="002A6A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6A58" w:rsidRPr="002A6A58" w:rsidRDefault="002A6A58" w:rsidP="002A6A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</w:pPr>
            <w:r w:rsidRPr="002A6A58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  <w:t>Volk</w:t>
            </w:r>
          </w:p>
        </w:tc>
        <w:tc>
          <w:tcPr>
            <w:tcW w:w="0" w:type="auto"/>
            <w:vAlign w:val="center"/>
            <w:hideMark/>
          </w:tcPr>
          <w:p w:rsidR="002A6A58" w:rsidRPr="002A6A58" w:rsidRDefault="002A6A58" w:rsidP="002A6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</w:pPr>
            <w:r w:rsidRPr="002A6A58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  <w:t>276'021</w:t>
            </w:r>
          </w:p>
        </w:tc>
        <w:tc>
          <w:tcPr>
            <w:tcW w:w="0" w:type="auto"/>
            <w:vAlign w:val="center"/>
            <w:hideMark/>
          </w:tcPr>
          <w:p w:rsidR="002A6A58" w:rsidRPr="002A6A58" w:rsidRDefault="002A6A58" w:rsidP="002A6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</w:pPr>
            <w:r w:rsidRPr="002A6A58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  <w:t>223'122</w:t>
            </w:r>
          </w:p>
        </w:tc>
        <w:tc>
          <w:tcPr>
            <w:tcW w:w="0" w:type="auto"/>
            <w:vAlign w:val="center"/>
            <w:hideMark/>
          </w:tcPr>
          <w:p w:rsidR="002A6A58" w:rsidRPr="002A6A58" w:rsidRDefault="002A6A58" w:rsidP="002A6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</w:pPr>
            <w:r w:rsidRPr="002A6A58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  <w:t>55.3</w:t>
            </w:r>
          </w:p>
        </w:tc>
        <w:tc>
          <w:tcPr>
            <w:tcW w:w="0" w:type="auto"/>
            <w:vAlign w:val="center"/>
            <w:hideMark/>
          </w:tcPr>
          <w:p w:rsidR="002A6A58" w:rsidRPr="002A6A58" w:rsidRDefault="002A6A58" w:rsidP="002A6A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</w:pPr>
            <w:r w:rsidRPr="002A6A58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de-CH"/>
              </w:rPr>
              <w:t>44.7</w:t>
            </w:r>
          </w:p>
        </w:tc>
      </w:tr>
    </w:tbl>
    <w:p w:rsidR="00E42424" w:rsidRDefault="00E42424" w:rsidP="002A6A58">
      <w:pPr>
        <w:pStyle w:val="Listenabsatz"/>
        <w:ind w:left="360"/>
      </w:pPr>
    </w:p>
    <w:p w:rsidR="00CB7F93" w:rsidRDefault="00CB7F93" w:rsidP="00CB7F93">
      <w:pPr>
        <w:pStyle w:val="Listenabsatz"/>
        <w:numPr>
          <w:ilvl w:val="0"/>
          <w:numId w:val="1"/>
        </w:numPr>
      </w:pPr>
      <w:r>
        <w:t>Welche Argumente hatten möglicherweise die Befürworter des Verbots?</w:t>
      </w:r>
    </w:p>
    <w:p w:rsidR="002A6A58" w:rsidRPr="002A6A58" w:rsidRDefault="002A6A58" w:rsidP="002A6A58">
      <w:pPr>
        <w:pStyle w:val="Listenabsatz"/>
        <w:ind w:left="360"/>
        <w:rPr>
          <w:color w:val="002060"/>
        </w:rPr>
      </w:pPr>
      <w:r w:rsidRPr="002A6A58">
        <w:rPr>
          <w:color w:val="002060"/>
        </w:rPr>
        <w:t>Moralische und religiöse Gründe</w:t>
      </w:r>
    </w:p>
    <w:p w:rsidR="00CB7F93" w:rsidRPr="0057363B" w:rsidRDefault="00CB7F93" w:rsidP="00CB7F93">
      <w:pPr>
        <w:pStyle w:val="Listenabsatz"/>
        <w:numPr>
          <w:ilvl w:val="0"/>
          <w:numId w:val="1"/>
        </w:numPr>
        <w:rPr>
          <w:color w:val="002060"/>
        </w:rPr>
      </w:pPr>
      <w:r>
        <w:t xml:space="preserve">In Deutschland herrschte </w:t>
      </w:r>
      <w:r w:rsidR="004E5922">
        <w:t>bis Mitte der 1980er Jahre Residenzverbot. Worum ging es und was für einen Sinn hatte diese Regelung?</w:t>
      </w:r>
      <w:r w:rsidR="002A6A58">
        <w:br/>
      </w:r>
      <w:r w:rsidR="002A6A58" w:rsidRPr="0057363B">
        <w:rPr>
          <w:color w:val="002060"/>
        </w:rPr>
        <w:t xml:space="preserve">Die Bewohner, die in der Nähe einer Spielbank lebten, dürften nicht die Spielbank besuchen. Man wollte somit </w:t>
      </w:r>
      <w:r w:rsidR="0057363B" w:rsidRPr="0057363B">
        <w:rPr>
          <w:color w:val="002060"/>
        </w:rPr>
        <w:t>die Spielsucht verhindern.</w:t>
      </w:r>
      <w:r w:rsidR="002A6A58" w:rsidRPr="0057363B">
        <w:rPr>
          <w:color w:val="002060"/>
        </w:rPr>
        <w:t xml:space="preserve"> </w:t>
      </w:r>
    </w:p>
    <w:p w:rsidR="00CB7F93" w:rsidRDefault="00CB7F93" w:rsidP="00CB7F93">
      <w:pPr>
        <w:pStyle w:val="Listenabsatz"/>
        <w:numPr>
          <w:ilvl w:val="0"/>
          <w:numId w:val="1"/>
        </w:numPr>
      </w:pPr>
      <w:r>
        <w:t>Seit wann gibt es wieder Casino in der Schweiz?</w:t>
      </w:r>
      <w:r w:rsidR="0057363B">
        <w:t xml:space="preserve"> </w:t>
      </w:r>
      <w:r w:rsidR="0057363B" w:rsidRPr="0057363B">
        <w:rPr>
          <w:color w:val="002060"/>
        </w:rPr>
        <w:t>Seit 2002</w:t>
      </w:r>
    </w:p>
    <w:p w:rsidR="00CB7F93" w:rsidRPr="00A62BA8" w:rsidRDefault="00CB7F93" w:rsidP="00634A37">
      <w:pPr>
        <w:pStyle w:val="Listenabsatz"/>
        <w:numPr>
          <w:ilvl w:val="0"/>
          <w:numId w:val="1"/>
        </w:numPr>
      </w:pPr>
      <w:r>
        <w:lastRenderedPageBreak/>
        <w:t>Wie viele gibt es heutzutage</w:t>
      </w:r>
      <w:r w:rsidR="004E5922">
        <w:t xml:space="preserve"> in der Schweiz</w:t>
      </w:r>
      <w:r>
        <w:t>?</w:t>
      </w:r>
      <w:r w:rsidR="0057363B">
        <w:t xml:space="preserve"> </w:t>
      </w:r>
      <w:r w:rsidR="0057363B" w:rsidRPr="0057363B">
        <w:rPr>
          <w:color w:val="002060"/>
        </w:rPr>
        <w:t>21</w:t>
      </w:r>
    </w:p>
    <w:p w:rsidR="00A62BA8" w:rsidRPr="00A62BA8" w:rsidRDefault="004E5922" w:rsidP="00236C7F">
      <w:pPr>
        <w:pStyle w:val="StandardWeb"/>
        <w:numPr>
          <w:ilvl w:val="0"/>
          <w:numId w:val="1"/>
        </w:numPr>
        <w:rPr>
          <w:rFonts w:asciiTheme="minorHAnsi" w:hAnsiTheme="minorHAnsi" w:cstheme="minorHAnsi"/>
          <w:color w:val="002060"/>
          <w:sz w:val="22"/>
          <w:szCs w:val="22"/>
        </w:rPr>
      </w:pPr>
      <w:r w:rsidRPr="00A62BA8">
        <w:rPr>
          <w:rFonts w:asciiTheme="minorHAnsi" w:hAnsiTheme="minorHAnsi" w:cstheme="minorHAnsi"/>
          <w:sz w:val="22"/>
          <w:szCs w:val="22"/>
        </w:rPr>
        <w:t>Welche 2 unterschiedliche Arten von Casino gibt es in der Schweiz? Worin unterscheiden sie sich?</w:t>
      </w:r>
      <w:r w:rsidRPr="00A62BA8">
        <w:rPr>
          <w:rFonts w:asciiTheme="minorHAnsi" w:hAnsiTheme="minorHAnsi" w:cstheme="minorHAnsi"/>
          <w:sz w:val="22"/>
          <w:szCs w:val="22"/>
        </w:rPr>
        <w:br/>
      </w:r>
      <w:r w:rsidR="00A62BA8" w:rsidRPr="00A62BA8">
        <w:rPr>
          <w:rFonts w:asciiTheme="minorHAnsi" w:hAnsiTheme="minorHAnsi" w:cstheme="minorHAnsi"/>
          <w:b/>
          <w:bCs/>
          <w:color w:val="002060"/>
          <w:sz w:val="22"/>
          <w:szCs w:val="22"/>
        </w:rPr>
        <w:t>Unterschiede im Spielangebot</w:t>
      </w:r>
      <w:r w:rsidR="00A62BA8" w:rsidRPr="00A62BA8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A62BA8" w:rsidRPr="00A62BA8">
        <w:rPr>
          <w:rFonts w:asciiTheme="minorHAnsi" w:hAnsiTheme="minorHAnsi" w:cstheme="minorHAnsi"/>
          <w:color w:val="002060"/>
          <w:sz w:val="22"/>
          <w:szCs w:val="22"/>
        </w:rPr>
        <w:br/>
        <w:t xml:space="preserve">Die Spielbanken mit A-Konzession können eine unbeschränkte Anzahl von Tischspielen und Glücksspielautomaten anbieten und Jackpots untereinander vernetzen. Die Höchsteinsätze sind gesetzlich nicht beschränkt. </w:t>
      </w:r>
      <w:r w:rsidR="00A62BA8" w:rsidRPr="00A62BA8">
        <w:rPr>
          <w:rFonts w:asciiTheme="minorHAnsi" w:hAnsiTheme="minorHAnsi" w:cstheme="minorHAnsi"/>
          <w:color w:val="002060"/>
          <w:sz w:val="22"/>
          <w:szCs w:val="22"/>
        </w:rPr>
        <w:br/>
        <w:t xml:space="preserve">Die Spielbanken mit B-Konzession dürfen nur drei Arten von Tischspielen (z.B. Roulette, Black Jack und Poker) und höchstens 250 Glücksspielautomaten anbieten. Zudem müssen sie Einsatz- und Gewinnbeschränkungen respektieren und dürfen Jackpots nicht über die eigene Spielbank hinaus vernetzen. </w:t>
      </w:r>
      <w:r w:rsidR="00A62BA8" w:rsidRPr="00A62BA8">
        <w:rPr>
          <w:rFonts w:asciiTheme="minorHAnsi" w:hAnsiTheme="minorHAnsi" w:cstheme="minorHAnsi"/>
          <w:color w:val="002060"/>
          <w:sz w:val="22"/>
          <w:szCs w:val="22"/>
        </w:rPr>
        <w:br/>
      </w:r>
      <w:r w:rsidR="00A62BA8" w:rsidRPr="00A62BA8">
        <w:rPr>
          <w:rFonts w:asciiTheme="minorHAnsi" w:hAnsiTheme="minorHAnsi" w:cstheme="minorHAnsi"/>
          <w:b/>
          <w:bCs/>
          <w:color w:val="002060"/>
          <w:sz w:val="22"/>
          <w:szCs w:val="22"/>
        </w:rPr>
        <w:t>Unterschiede bei der Zweckbindung der Spielbankenabgabe</w:t>
      </w:r>
      <w:r w:rsidR="00A62BA8" w:rsidRPr="00A62BA8">
        <w:rPr>
          <w:rFonts w:asciiTheme="minorHAnsi" w:hAnsiTheme="minorHAnsi" w:cstheme="minorHAnsi"/>
          <w:color w:val="002060"/>
          <w:sz w:val="22"/>
          <w:szCs w:val="22"/>
        </w:rPr>
        <w:t xml:space="preserve"> </w:t>
      </w:r>
      <w:r w:rsidR="00A62BA8">
        <w:rPr>
          <w:rFonts w:asciiTheme="minorHAnsi" w:hAnsiTheme="minorHAnsi" w:cstheme="minorHAnsi"/>
          <w:color w:val="002060"/>
          <w:sz w:val="22"/>
          <w:szCs w:val="22"/>
        </w:rPr>
        <w:br/>
      </w:r>
      <w:r w:rsidR="00A62BA8" w:rsidRPr="00A62BA8">
        <w:rPr>
          <w:rFonts w:asciiTheme="minorHAnsi" w:hAnsiTheme="minorHAnsi" w:cstheme="minorHAnsi"/>
          <w:color w:val="002060"/>
          <w:sz w:val="22"/>
          <w:szCs w:val="22"/>
        </w:rPr>
        <w:t xml:space="preserve">Die Spielbankenabgabe der Casinos mit A-Konzession fliesst zu 100 Prozent in die AHV. Bei den Casinos mit B-Konzession fliessen 60 Prozent der Spielbankenabgabe in die AHV und 40 Prozent an den Standortkanton. </w:t>
      </w:r>
    </w:p>
    <w:p w:rsidR="00FF70A6" w:rsidRDefault="00FF70A6" w:rsidP="00FF70A6">
      <w:pPr>
        <w:pStyle w:val="Listenabsatz"/>
        <w:ind w:left="360"/>
      </w:pPr>
      <w:r>
        <w:t>Spielbanken in der Schweiz</w:t>
      </w:r>
    </w:p>
    <w:p w:rsidR="00FF70A6" w:rsidRPr="00FF70A6" w:rsidRDefault="00FF70A6" w:rsidP="00FF70A6">
      <w:pPr>
        <w:pStyle w:val="Listenabsatz"/>
        <w:ind w:left="360"/>
        <w:rPr>
          <w:b/>
          <w:lang w:val="fr-CH"/>
        </w:rPr>
      </w:pPr>
      <w:r w:rsidRPr="00FF70A6">
        <w:rPr>
          <w:b/>
          <w:lang w:val="fr-CH"/>
        </w:rPr>
        <w:t>A-</w:t>
      </w:r>
      <w:proofErr w:type="spellStart"/>
      <w:r w:rsidRPr="00FF70A6">
        <w:rPr>
          <w:b/>
          <w:lang w:val="fr-CH"/>
        </w:rPr>
        <w:t>Konzession</w:t>
      </w:r>
      <w:proofErr w:type="spellEnd"/>
      <w:r w:rsidRPr="00FF70A6">
        <w:rPr>
          <w:b/>
          <w:lang w:val="fr-CH"/>
        </w:rPr>
        <w:t xml:space="preserve"> (8):</w:t>
      </w:r>
      <w:r w:rsidRPr="00FF70A6">
        <w:rPr>
          <w:b/>
          <w:lang w:val="fr-CH"/>
        </w:rPr>
        <w:tab/>
      </w:r>
      <w:r w:rsidRPr="00FF70A6">
        <w:rPr>
          <w:b/>
          <w:lang w:val="fr-CH"/>
        </w:rPr>
        <w:tab/>
      </w:r>
      <w:r w:rsidRPr="00FF70A6">
        <w:rPr>
          <w:b/>
          <w:lang w:val="fr-CH"/>
        </w:rPr>
        <w:tab/>
      </w:r>
      <w:r>
        <w:rPr>
          <w:b/>
          <w:lang w:val="fr-CH"/>
        </w:rPr>
        <w:t>B</w:t>
      </w:r>
      <w:r w:rsidRPr="00FF70A6">
        <w:rPr>
          <w:b/>
          <w:lang w:val="fr-CH"/>
        </w:rPr>
        <w:t>-</w:t>
      </w:r>
      <w:proofErr w:type="spellStart"/>
      <w:r w:rsidRPr="00FF70A6">
        <w:rPr>
          <w:b/>
          <w:lang w:val="fr-CH"/>
        </w:rPr>
        <w:t>Konzession</w:t>
      </w:r>
      <w:proofErr w:type="spellEnd"/>
      <w:r>
        <w:rPr>
          <w:b/>
          <w:lang w:val="fr-CH"/>
        </w:rPr>
        <w:t xml:space="preserve"> (13</w:t>
      </w:r>
      <w:r w:rsidRPr="00FF70A6">
        <w:rPr>
          <w:b/>
          <w:lang w:val="fr-CH"/>
        </w:rPr>
        <w:t>):</w:t>
      </w:r>
      <w:r w:rsidRPr="00FF70A6">
        <w:rPr>
          <w:b/>
          <w:lang w:val="fr-CH"/>
        </w:rPr>
        <w:tab/>
      </w:r>
    </w:p>
    <w:p w:rsidR="00FF70A6" w:rsidRPr="00FF70A6" w:rsidRDefault="00FF70A6" w:rsidP="00FF70A6">
      <w:pPr>
        <w:pStyle w:val="Listenabsatz"/>
        <w:ind w:left="360"/>
        <w:rPr>
          <w:lang w:val="fr-CH"/>
        </w:rPr>
      </w:pPr>
      <w:r w:rsidRPr="00FF70A6">
        <w:rPr>
          <w:lang w:val="fr-CH"/>
        </w:rPr>
        <w:t>Grand Casino Baden</w:t>
      </w:r>
      <w:r>
        <w:rPr>
          <w:lang w:val="fr-CH"/>
        </w:rPr>
        <w:tab/>
      </w:r>
      <w:r>
        <w:rPr>
          <w:lang w:val="fr-CH"/>
        </w:rPr>
        <w:tab/>
      </w:r>
      <w:proofErr w:type="spellStart"/>
      <w:r>
        <w:rPr>
          <w:lang w:val="fr-CH"/>
        </w:rPr>
        <w:t>Casinò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Admiral</w:t>
      </w:r>
      <w:proofErr w:type="spellEnd"/>
      <w:r>
        <w:rPr>
          <w:lang w:val="fr-CH"/>
        </w:rPr>
        <w:t xml:space="preserve"> Mendrisio</w:t>
      </w:r>
    </w:p>
    <w:p w:rsidR="00FF70A6" w:rsidRPr="00FF70A6" w:rsidRDefault="00FF70A6" w:rsidP="00FF70A6">
      <w:pPr>
        <w:pStyle w:val="Listenabsatz"/>
        <w:ind w:left="360"/>
        <w:rPr>
          <w:lang w:val="fr-CH"/>
        </w:rPr>
      </w:pPr>
      <w:r w:rsidRPr="00FF70A6">
        <w:rPr>
          <w:lang w:val="fr-CH"/>
        </w:rPr>
        <w:t>Grand Casino Basel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Casino Bad </w:t>
      </w:r>
      <w:proofErr w:type="spellStart"/>
      <w:r>
        <w:rPr>
          <w:lang w:val="fr-CH"/>
        </w:rPr>
        <w:t>Ragaz</w:t>
      </w:r>
      <w:proofErr w:type="spellEnd"/>
    </w:p>
    <w:p w:rsidR="00FF70A6" w:rsidRPr="00FF70A6" w:rsidRDefault="00FF70A6" w:rsidP="00FF70A6">
      <w:pPr>
        <w:pStyle w:val="Listenabsatz"/>
        <w:ind w:left="360"/>
        <w:rPr>
          <w:lang w:val="fr-CH"/>
        </w:rPr>
      </w:pPr>
      <w:r w:rsidRPr="00FF70A6">
        <w:rPr>
          <w:lang w:val="fr-CH"/>
        </w:rPr>
        <w:t>Grand Casino Bern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Casino Davos</w:t>
      </w:r>
    </w:p>
    <w:p w:rsidR="00FF70A6" w:rsidRPr="00FF70A6" w:rsidRDefault="00FF70A6" w:rsidP="00FF70A6">
      <w:pPr>
        <w:pStyle w:val="Listenabsatz"/>
        <w:ind w:left="360"/>
        <w:rPr>
          <w:lang w:val="fr-CH"/>
        </w:rPr>
      </w:pPr>
      <w:proofErr w:type="spellStart"/>
      <w:r w:rsidRPr="00FF70A6">
        <w:rPr>
          <w:lang w:val="fr-CH"/>
        </w:rPr>
        <w:t>Casinò</w:t>
      </w:r>
      <w:proofErr w:type="spellEnd"/>
      <w:r w:rsidRPr="00FF70A6">
        <w:rPr>
          <w:lang w:val="fr-CH"/>
        </w:rPr>
        <w:t xml:space="preserve"> Lugano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Casino Barrière de Fribourg</w:t>
      </w:r>
    </w:p>
    <w:p w:rsidR="00FF70A6" w:rsidRPr="00FF70A6" w:rsidRDefault="00FF70A6" w:rsidP="00FF70A6">
      <w:pPr>
        <w:pStyle w:val="Listenabsatz"/>
        <w:ind w:left="360"/>
        <w:rPr>
          <w:lang w:val="fr-CH"/>
        </w:rPr>
      </w:pPr>
      <w:r w:rsidRPr="00FF70A6">
        <w:rPr>
          <w:lang w:val="fr-CH"/>
        </w:rPr>
        <w:t xml:space="preserve">Grand Casino </w:t>
      </w:r>
      <w:proofErr w:type="spellStart"/>
      <w:r w:rsidRPr="00FF70A6">
        <w:rPr>
          <w:lang w:val="fr-CH"/>
        </w:rPr>
        <w:t>Luzern</w:t>
      </w:r>
      <w:proofErr w:type="spellEnd"/>
      <w:r>
        <w:rPr>
          <w:lang w:val="fr-CH"/>
        </w:rPr>
        <w:tab/>
      </w:r>
      <w:r>
        <w:rPr>
          <w:lang w:val="fr-CH"/>
        </w:rPr>
        <w:tab/>
        <w:t>Casino Interlaken</w:t>
      </w:r>
    </w:p>
    <w:p w:rsidR="00FF70A6" w:rsidRPr="00FF70A6" w:rsidRDefault="00FF70A6" w:rsidP="00FF70A6">
      <w:pPr>
        <w:pStyle w:val="Listenabsatz"/>
        <w:ind w:left="360"/>
        <w:rPr>
          <w:lang w:val="fr-CH"/>
        </w:rPr>
      </w:pPr>
      <w:r w:rsidRPr="00FF70A6">
        <w:rPr>
          <w:lang w:val="fr-CH"/>
        </w:rPr>
        <w:t>Casino Barrière de Montreux</w:t>
      </w:r>
      <w:r>
        <w:rPr>
          <w:lang w:val="fr-CH"/>
        </w:rPr>
        <w:tab/>
        <w:t>Casino du Lac Meyrin</w:t>
      </w:r>
    </w:p>
    <w:p w:rsidR="00FF70A6" w:rsidRPr="00FF70A6" w:rsidRDefault="00FF70A6" w:rsidP="00FF70A6">
      <w:pPr>
        <w:pStyle w:val="Listenabsatz"/>
        <w:ind w:left="360"/>
        <w:rPr>
          <w:lang w:val="fr-CH"/>
        </w:rPr>
      </w:pPr>
      <w:proofErr w:type="spellStart"/>
      <w:r w:rsidRPr="00FF70A6">
        <w:rPr>
          <w:lang w:val="fr-CH"/>
        </w:rPr>
        <w:t>Swiss</w:t>
      </w:r>
      <w:proofErr w:type="spellEnd"/>
      <w:r w:rsidRPr="00FF70A6">
        <w:rPr>
          <w:lang w:val="fr-CH"/>
        </w:rPr>
        <w:t xml:space="preserve"> Casinos St. </w:t>
      </w:r>
      <w:proofErr w:type="spellStart"/>
      <w:r w:rsidRPr="00FF70A6">
        <w:rPr>
          <w:lang w:val="fr-CH"/>
        </w:rPr>
        <w:t>Gallen</w:t>
      </w:r>
      <w:proofErr w:type="spellEnd"/>
      <w:r>
        <w:rPr>
          <w:lang w:val="fr-CH"/>
        </w:rPr>
        <w:tab/>
      </w:r>
      <w:r>
        <w:rPr>
          <w:lang w:val="fr-CH"/>
        </w:rPr>
        <w:tab/>
        <w:t>Casino Crans-Montana</w:t>
      </w:r>
    </w:p>
    <w:p w:rsidR="00FF70A6" w:rsidRPr="00FF70A6" w:rsidRDefault="00FF70A6" w:rsidP="00FF70A6">
      <w:pPr>
        <w:pStyle w:val="Listenabsatz"/>
        <w:ind w:left="360"/>
        <w:rPr>
          <w:lang w:val="fr-CH"/>
        </w:rPr>
      </w:pPr>
      <w:proofErr w:type="spellStart"/>
      <w:r w:rsidRPr="00FF70A6">
        <w:rPr>
          <w:lang w:val="fr-CH"/>
        </w:rPr>
        <w:t>Swiss</w:t>
      </w:r>
      <w:proofErr w:type="spellEnd"/>
      <w:r w:rsidRPr="00FF70A6">
        <w:rPr>
          <w:lang w:val="fr-CH"/>
        </w:rPr>
        <w:t xml:space="preserve"> Casinos Zürich</w:t>
      </w:r>
      <w:r>
        <w:rPr>
          <w:lang w:val="fr-CH"/>
        </w:rPr>
        <w:tab/>
      </w:r>
      <w:r>
        <w:rPr>
          <w:lang w:val="fr-CH"/>
        </w:rPr>
        <w:tab/>
      </w:r>
      <w:proofErr w:type="spellStart"/>
      <w:r>
        <w:rPr>
          <w:lang w:val="fr-CH"/>
        </w:rPr>
        <w:t>Swiss</w:t>
      </w:r>
      <w:proofErr w:type="spellEnd"/>
      <w:r>
        <w:rPr>
          <w:lang w:val="fr-CH"/>
        </w:rPr>
        <w:t xml:space="preserve"> Casinos Schaffhausen</w:t>
      </w:r>
    </w:p>
    <w:p w:rsidR="00FF70A6" w:rsidRPr="00FF70A6" w:rsidRDefault="00FF70A6" w:rsidP="00FF70A6">
      <w:pPr>
        <w:pStyle w:val="Listenabsatz"/>
        <w:ind w:left="360"/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</w:r>
      <w:r w:rsidRPr="00FF70A6">
        <w:rPr>
          <w:lang w:val="fr-CH"/>
        </w:rPr>
        <w:t xml:space="preserve">Casino Barrière de </w:t>
      </w:r>
      <w:proofErr w:type="spellStart"/>
      <w:r w:rsidRPr="00FF70A6">
        <w:rPr>
          <w:lang w:val="fr-CH"/>
        </w:rPr>
        <w:t>Courrendlin</w:t>
      </w:r>
      <w:proofErr w:type="spellEnd"/>
    </w:p>
    <w:p w:rsidR="00FF70A6" w:rsidRPr="00FF70A6" w:rsidRDefault="00FF70A6" w:rsidP="00FF70A6">
      <w:pPr>
        <w:pStyle w:val="Listenabsatz"/>
        <w:ind w:left="2832" w:firstLine="708"/>
        <w:rPr>
          <w:lang w:val="fr-CH"/>
        </w:rPr>
      </w:pPr>
      <w:proofErr w:type="spellStart"/>
      <w:r w:rsidRPr="00FF70A6">
        <w:rPr>
          <w:lang w:val="fr-CH"/>
        </w:rPr>
        <w:t>Casinò</w:t>
      </w:r>
      <w:proofErr w:type="spellEnd"/>
      <w:r w:rsidRPr="00FF70A6">
        <w:rPr>
          <w:lang w:val="fr-CH"/>
        </w:rPr>
        <w:t xml:space="preserve"> Locarno</w:t>
      </w:r>
      <w:bookmarkStart w:id="0" w:name="_GoBack"/>
      <w:bookmarkEnd w:id="0"/>
    </w:p>
    <w:p w:rsidR="00FF70A6" w:rsidRDefault="00FF70A6" w:rsidP="00FF70A6">
      <w:pPr>
        <w:pStyle w:val="Listenabsatz"/>
        <w:ind w:left="3192" w:firstLine="348"/>
        <w:rPr>
          <w:lang w:val="fr-CH"/>
        </w:rPr>
      </w:pPr>
      <w:r w:rsidRPr="00FF70A6">
        <w:rPr>
          <w:lang w:val="fr-CH"/>
        </w:rPr>
        <w:t>Casino Neuchâtel</w:t>
      </w:r>
    </w:p>
    <w:p w:rsidR="00FF70A6" w:rsidRPr="00FF70A6" w:rsidRDefault="00FF70A6" w:rsidP="00FF70A6">
      <w:pPr>
        <w:pStyle w:val="Listenabsatz"/>
        <w:ind w:left="3540"/>
      </w:pPr>
      <w:r w:rsidRPr="00FF70A6">
        <w:t>Casino St. Moritz</w:t>
      </w:r>
    </w:p>
    <w:p w:rsidR="00FF70A6" w:rsidRPr="00FF70A6" w:rsidRDefault="00FF70A6" w:rsidP="00FF70A6">
      <w:pPr>
        <w:pStyle w:val="Listenabsatz"/>
        <w:ind w:left="3540"/>
      </w:pPr>
      <w:r w:rsidRPr="00FF70A6">
        <w:t>Swiss Casinos Pfäffikon-Zürichsee</w:t>
      </w:r>
    </w:p>
    <w:p w:rsidR="00FF70A6" w:rsidRPr="00FF70A6" w:rsidRDefault="00FF70A6" w:rsidP="00FF70A6">
      <w:pPr>
        <w:pStyle w:val="Listenabsatz"/>
        <w:ind w:left="360"/>
      </w:pPr>
    </w:p>
    <w:p w:rsidR="00FF70A6" w:rsidRPr="00FF70A6" w:rsidRDefault="00FF70A6" w:rsidP="00A62BA8">
      <w:pPr>
        <w:pStyle w:val="Listenabsatz"/>
        <w:ind w:left="360"/>
      </w:pPr>
    </w:p>
    <w:p w:rsidR="004E5922" w:rsidRPr="00FF70A6" w:rsidRDefault="004E5922" w:rsidP="00A62BA8">
      <w:pPr>
        <w:pStyle w:val="Listenabsatz"/>
        <w:ind w:left="360"/>
      </w:pPr>
      <w:r w:rsidRPr="00FF70A6">
        <w:br/>
      </w:r>
    </w:p>
    <w:p w:rsidR="00E42424" w:rsidRPr="004E5922" w:rsidRDefault="00207D78" w:rsidP="004E5922">
      <w:pPr>
        <w:pStyle w:val="Listenabsatz"/>
        <w:ind w:left="0"/>
        <w:rPr>
          <w:u w:val="single"/>
        </w:rPr>
      </w:pPr>
      <w:r>
        <w:rPr>
          <w:u w:val="single"/>
        </w:rPr>
        <w:t xml:space="preserve">Gruppe </w:t>
      </w:r>
      <w:r w:rsidR="004E5922" w:rsidRPr="004E5922">
        <w:rPr>
          <w:u w:val="single"/>
        </w:rPr>
        <w:t>2</w:t>
      </w:r>
      <w:r w:rsidR="00E42424" w:rsidRPr="004E5922">
        <w:rPr>
          <w:u w:val="single"/>
        </w:rPr>
        <w:br/>
      </w:r>
    </w:p>
    <w:p w:rsidR="001C2A57" w:rsidRDefault="001C2A57" w:rsidP="001C2A57">
      <w:pPr>
        <w:pStyle w:val="Listenabsatz"/>
        <w:numPr>
          <w:ilvl w:val="0"/>
          <w:numId w:val="1"/>
        </w:numPr>
      </w:pPr>
      <w:r>
        <w:t>Wie viele Eintritte verzeichnen jährlich die Casinos in der Schweiz?</w:t>
      </w:r>
      <w:r w:rsidR="00A62BA8">
        <w:t xml:space="preserve"> </w:t>
      </w:r>
      <w:r w:rsidR="00A62BA8" w:rsidRPr="00A62BA8">
        <w:rPr>
          <w:color w:val="002060"/>
        </w:rPr>
        <w:t>5 Millionen</w:t>
      </w:r>
    </w:p>
    <w:p w:rsidR="001E6334" w:rsidRDefault="00E42424" w:rsidP="004E5922">
      <w:pPr>
        <w:pStyle w:val="Listenabsatz"/>
        <w:numPr>
          <w:ilvl w:val="0"/>
          <w:numId w:val="1"/>
        </w:numPr>
        <w:rPr>
          <w:color w:val="002060"/>
        </w:rPr>
      </w:pPr>
      <w:r>
        <w:t>Sie präsentieren das Grand Casino Baden, nach den von Ihnen bekannten 5 Unternehmensmerkmale.</w:t>
      </w:r>
      <w:r w:rsidR="004E5922">
        <w:t xml:space="preserve"> </w:t>
      </w:r>
      <w:r w:rsidR="00A62BA8">
        <w:br/>
      </w:r>
      <w:r w:rsidR="00A62BA8" w:rsidRPr="00576FFD">
        <w:rPr>
          <w:color w:val="002060"/>
        </w:rPr>
        <w:t xml:space="preserve">Sektor: 3, Branche: Casino, </w:t>
      </w:r>
      <w:r w:rsidR="00C77738" w:rsidRPr="00576FFD">
        <w:rPr>
          <w:color w:val="002060"/>
        </w:rPr>
        <w:t>Grossunternehmen 363 MA</w:t>
      </w:r>
      <w:r w:rsidR="00576FFD" w:rsidRPr="00576FFD">
        <w:rPr>
          <w:color w:val="002060"/>
        </w:rPr>
        <w:t xml:space="preserve"> (Geschäftsber</w:t>
      </w:r>
      <w:r w:rsidR="00C77738" w:rsidRPr="00576FFD">
        <w:rPr>
          <w:color w:val="002060"/>
        </w:rPr>
        <w:t xml:space="preserve">icht 2016), </w:t>
      </w:r>
      <w:r w:rsidR="00311251">
        <w:rPr>
          <w:color w:val="002060"/>
        </w:rPr>
        <w:t xml:space="preserve">Trägerschaft (49% private Kapitalgeber und 51% Einwohner- und Ortsbürgergemeinde </w:t>
      </w:r>
      <w:r w:rsidR="00576FFD" w:rsidRPr="00576FFD">
        <w:rPr>
          <w:color w:val="002060"/>
        </w:rPr>
        <w:t>Baden), Rechtsform: AG</w:t>
      </w:r>
    </w:p>
    <w:p w:rsidR="00311251" w:rsidRDefault="00311251" w:rsidP="00311251">
      <w:pPr>
        <w:rPr>
          <w:color w:val="002060"/>
        </w:rPr>
      </w:pPr>
      <w:r>
        <w:rPr>
          <w:noProof/>
          <w:lang w:eastAsia="de-CH"/>
        </w:rPr>
        <w:lastRenderedPageBreak/>
        <w:drawing>
          <wp:inline distT="0" distB="0" distL="0" distR="0" wp14:anchorId="037468FA" wp14:editId="6A226E30">
            <wp:extent cx="6120130" cy="3897913"/>
            <wp:effectExtent l="0" t="0" r="0" b="7620"/>
            <wp:docPr id="3" name="Bild 1" descr="https://s3-eu-west-1.amazonaws.com/lbwp-cdn.sdd1.ch/grandcasinobaden/files/1499332194/gruppenstruktur_neu_fusion_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eu-west-1.amazonaws.com/lbwp-cdn.sdd1.ch/grandcasinobaden/files/1499332194/gruppenstruktur_neu_fusion_20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51" w:rsidRDefault="00311251" w:rsidP="00311251">
      <w:pPr>
        <w:rPr>
          <w:color w:val="002060"/>
        </w:rPr>
      </w:pPr>
    </w:p>
    <w:p w:rsidR="00311251" w:rsidRPr="00311251" w:rsidRDefault="00311251" w:rsidP="00311251">
      <w:pPr>
        <w:rPr>
          <w:color w:val="002060"/>
        </w:rPr>
      </w:pPr>
    </w:p>
    <w:p w:rsidR="008C6A4B" w:rsidRPr="002039EC" w:rsidRDefault="001E6334" w:rsidP="004E5922">
      <w:pPr>
        <w:pStyle w:val="Listenabsatz"/>
        <w:numPr>
          <w:ilvl w:val="0"/>
          <w:numId w:val="1"/>
        </w:numPr>
        <w:rPr>
          <w:color w:val="002060"/>
        </w:rPr>
      </w:pPr>
      <w:r>
        <w:t xml:space="preserve">Sie stellen eine gesamtwirtschaftliche Kosten-Analyse </w:t>
      </w:r>
      <w:r w:rsidR="008C6A4B">
        <w:t>für das Betreiben von Casino in der Schweiz.</w:t>
      </w:r>
      <w:r w:rsidR="00576FFD">
        <w:br/>
      </w:r>
      <w:r w:rsidR="00576FFD" w:rsidRPr="002039EC">
        <w:rPr>
          <w:color w:val="002060"/>
        </w:rPr>
        <w:t>Nutzen:</w:t>
      </w:r>
      <w:r w:rsidR="001F7533" w:rsidRPr="002039EC">
        <w:rPr>
          <w:color w:val="002060"/>
        </w:rPr>
        <w:t xml:space="preserve"> Einnahmen für </w:t>
      </w:r>
      <w:r w:rsidR="005B3613">
        <w:rPr>
          <w:color w:val="002060"/>
        </w:rPr>
        <w:t xml:space="preserve">den Staat insbesondere für </w:t>
      </w:r>
      <w:r w:rsidR="001F7533" w:rsidRPr="002039EC">
        <w:rPr>
          <w:color w:val="002060"/>
        </w:rPr>
        <w:t xml:space="preserve">die AHV, </w:t>
      </w:r>
      <w:r w:rsidR="002039EC" w:rsidRPr="002039EC">
        <w:rPr>
          <w:color w:val="002060"/>
        </w:rPr>
        <w:t xml:space="preserve">Sponsoring, </w:t>
      </w:r>
      <w:r w:rsidR="001F7533" w:rsidRPr="002039EC">
        <w:rPr>
          <w:color w:val="002060"/>
        </w:rPr>
        <w:t>Schaffung von Arbeitsplätzen</w:t>
      </w:r>
      <w:r w:rsidR="005B3613">
        <w:rPr>
          <w:color w:val="002060"/>
        </w:rPr>
        <w:t xml:space="preserve"> (2000 MA in der Schweiz)</w:t>
      </w:r>
      <w:r w:rsidR="001F7533" w:rsidRPr="002039EC">
        <w:rPr>
          <w:color w:val="002060"/>
        </w:rPr>
        <w:t xml:space="preserve">, </w:t>
      </w:r>
    </w:p>
    <w:p w:rsidR="002039EC" w:rsidRPr="002039EC" w:rsidRDefault="00576FFD" w:rsidP="00576FFD">
      <w:pPr>
        <w:pStyle w:val="Listenabsatz"/>
        <w:ind w:left="360"/>
        <w:rPr>
          <w:color w:val="002060"/>
        </w:rPr>
      </w:pPr>
      <w:r w:rsidRPr="002039EC">
        <w:rPr>
          <w:color w:val="002060"/>
        </w:rPr>
        <w:t>Kosten</w:t>
      </w:r>
      <w:r w:rsidR="001F7533" w:rsidRPr="002039EC">
        <w:rPr>
          <w:color w:val="002060"/>
        </w:rPr>
        <w:t xml:space="preserve">: </w:t>
      </w:r>
      <w:r w:rsidR="002039EC" w:rsidRPr="002039EC">
        <w:rPr>
          <w:color w:val="002060"/>
        </w:rPr>
        <w:br/>
      </w:r>
      <w:r w:rsidR="001F7533" w:rsidRPr="002039EC">
        <w:rPr>
          <w:color w:val="002060"/>
        </w:rPr>
        <w:t xml:space="preserve">Für die Betroffenen Spieler </w:t>
      </w:r>
      <w:r w:rsidR="002039EC" w:rsidRPr="002039EC">
        <w:rPr>
          <w:rFonts w:cstheme="minorHAnsi"/>
          <w:color w:val="002060"/>
        </w:rPr>
        <w:t>→</w:t>
      </w:r>
      <w:r w:rsidR="002039EC" w:rsidRPr="002039EC">
        <w:rPr>
          <w:color w:val="002060"/>
        </w:rPr>
        <w:t xml:space="preserve"> </w:t>
      </w:r>
      <w:r w:rsidR="001F7533" w:rsidRPr="002039EC">
        <w:rPr>
          <w:color w:val="002060"/>
        </w:rPr>
        <w:t>Verschuldung</w:t>
      </w:r>
      <w:r w:rsidR="002039EC" w:rsidRPr="002039EC">
        <w:rPr>
          <w:rFonts w:cstheme="minorHAnsi"/>
          <w:color w:val="002060"/>
        </w:rPr>
        <w:t xml:space="preserve">, </w:t>
      </w:r>
      <w:r w:rsidR="001F7533" w:rsidRPr="002039EC">
        <w:rPr>
          <w:color w:val="002060"/>
        </w:rPr>
        <w:t xml:space="preserve">Auswirkungen auf die Familie und das soziale Umfeld, gesundheitliche Belastung </w:t>
      </w:r>
    </w:p>
    <w:p w:rsidR="00576FFD" w:rsidRPr="002039EC" w:rsidRDefault="001F7533" w:rsidP="00576FFD">
      <w:pPr>
        <w:pStyle w:val="Listenabsatz"/>
        <w:ind w:left="360"/>
        <w:rPr>
          <w:color w:val="002060"/>
        </w:rPr>
      </w:pPr>
      <w:r w:rsidRPr="002039EC">
        <w:rPr>
          <w:color w:val="002060"/>
        </w:rPr>
        <w:t>Staat</w:t>
      </w:r>
      <w:r w:rsidR="002039EC" w:rsidRPr="002039EC">
        <w:rPr>
          <w:color w:val="002060"/>
        </w:rPr>
        <w:t>/Unternehmen</w:t>
      </w:r>
      <w:r w:rsidRPr="002039EC">
        <w:rPr>
          <w:color w:val="002060"/>
        </w:rPr>
        <w:t xml:space="preserve"> </w:t>
      </w:r>
      <w:r w:rsidRPr="002039EC">
        <w:rPr>
          <w:rFonts w:cstheme="minorHAnsi"/>
          <w:color w:val="002060"/>
        </w:rPr>
        <w:t>→</w:t>
      </w:r>
      <w:r w:rsidRPr="002039EC">
        <w:rPr>
          <w:color w:val="002060"/>
        </w:rPr>
        <w:t xml:space="preserve"> Beanspruchung von Beratungs- und Behandlungseinrichtungen</w:t>
      </w:r>
      <w:r w:rsidR="002039EC" w:rsidRPr="002039EC">
        <w:rPr>
          <w:color w:val="002060"/>
        </w:rPr>
        <w:t>, Absenz am Arbeitsplatz, verminderte Produktivität</w:t>
      </w:r>
    </w:p>
    <w:p w:rsidR="008C6A4B" w:rsidRDefault="00207D78" w:rsidP="008C6A4B">
      <w:pPr>
        <w:rPr>
          <w:u w:val="single"/>
        </w:rPr>
      </w:pPr>
      <w:r>
        <w:rPr>
          <w:u w:val="single"/>
        </w:rPr>
        <w:t xml:space="preserve">Gruppe </w:t>
      </w:r>
      <w:r w:rsidR="008C6A4B" w:rsidRPr="008C6A4B">
        <w:rPr>
          <w:u w:val="single"/>
        </w:rPr>
        <w:t>3</w:t>
      </w:r>
      <w:r w:rsidR="008C6A4B">
        <w:rPr>
          <w:u w:val="single"/>
        </w:rPr>
        <w:br/>
      </w:r>
    </w:p>
    <w:p w:rsidR="00861784" w:rsidRDefault="008C6A4B" w:rsidP="008C6A4B">
      <w:pPr>
        <w:pStyle w:val="Listenabsatz"/>
        <w:numPr>
          <w:ilvl w:val="0"/>
          <w:numId w:val="1"/>
        </w:numPr>
      </w:pPr>
      <w:r w:rsidRPr="008C6A4B">
        <w:t>Was versteht man</w:t>
      </w:r>
      <w:r>
        <w:t xml:space="preserve"> unter Bruttospielertrag?</w:t>
      </w:r>
      <w:r w:rsidR="009B1910">
        <w:t xml:space="preserve"> </w:t>
      </w:r>
    </w:p>
    <w:p w:rsidR="008C6A4B" w:rsidRPr="00D32BB0" w:rsidRDefault="00861784" w:rsidP="00861784">
      <w:pPr>
        <w:pStyle w:val="Listenabsatz"/>
        <w:ind w:left="360"/>
        <w:rPr>
          <w:color w:val="002060"/>
        </w:rPr>
      </w:pPr>
      <w:r w:rsidRPr="00D32BB0">
        <w:rPr>
          <w:color w:val="002060"/>
        </w:rPr>
        <w:t>Differenz zwischen den Spieleinsätzen</w:t>
      </w:r>
      <w:r w:rsidR="009B1910" w:rsidRPr="00D32BB0">
        <w:rPr>
          <w:color w:val="002060"/>
        </w:rPr>
        <w:t xml:space="preserve"> </w:t>
      </w:r>
      <w:r w:rsidRPr="00D32BB0">
        <w:rPr>
          <w:color w:val="002060"/>
        </w:rPr>
        <w:t xml:space="preserve">und den von den Casinos </w:t>
      </w:r>
      <w:r w:rsidR="009B1910" w:rsidRPr="00D32BB0">
        <w:rPr>
          <w:color w:val="002060"/>
        </w:rPr>
        <w:t>ausbezahlte</w:t>
      </w:r>
      <w:r w:rsidRPr="00D32BB0">
        <w:rPr>
          <w:color w:val="002060"/>
        </w:rPr>
        <w:t>n</w:t>
      </w:r>
      <w:r w:rsidR="009B1910" w:rsidRPr="00D32BB0">
        <w:rPr>
          <w:color w:val="002060"/>
        </w:rPr>
        <w:t xml:space="preserve"> Gewinne</w:t>
      </w:r>
      <w:r w:rsidRPr="00D32BB0">
        <w:rPr>
          <w:color w:val="002060"/>
        </w:rPr>
        <w:t xml:space="preserve">n. </w:t>
      </w:r>
    </w:p>
    <w:p w:rsidR="009B1910" w:rsidRPr="00260C20" w:rsidRDefault="00E4104C" w:rsidP="008C6A4B">
      <w:pPr>
        <w:pStyle w:val="Listenabsatz"/>
        <w:numPr>
          <w:ilvl w:val="0"/>
          <w:numId w:val="1"/>
        </w:numPr>
        <w:rPr>
          <w:color w:val="002060"/>
        </w:rPr>
      </w:pPr>
      <w:r>
        <w:t>Ber</w:t>
      </w:r>
      <w:r w:rsidR="008C6A4B">
        <w:t>echnen Sie den Marktanteil von Casino Baden bezogen auf den Bruttospielertrag</w:t>
      </w:r>
      <w:r>
        <w:t xml:space="preserve"> für das Jahr 2016. </w:t>
      </w:r>
      <w:r w:rsidR="002173F5">
        <w:br/>
      </w:r>
      <w:r w:rsidR="002173F5" w:rsidRPr="00260C20">
        <w:rPr>
          <w:color w:val="002060"/>
        </w:rPr>
        <w:t>Der Bruttospielertrag für Grandcasino Baden belief sich auf 61</w:t>
      </w:r>
      <w:r w:rsidR="00831F4F">
        <w:rPr>
          <w:color w:val="002060"/>
        </w:rPr>
        <w:t>’</w:t>
      </w:r>
      <w:r w:rsidR="002173F5" w:rsidRPr="00260C20">
        <w:rPr>
          <w:color w:val="002060"/>
        </w:rPr>
        <w:t>728 TCHF für 2016</w:t>
      </w:r>
      <w:r w:rsidR="00FA75CE">
        <w:rPr>
          <w:color w:val="002060"/>
        </w:rPr>
        <w:t xml:space="preserve"> (Grand Casino Baden AG 59.6 Mio. Fr. und Casino Davos AG 2.2 Mio. Fr) </w:t>
      </w:r>
    </w:p>
    <w:p w:rsidR="002173F5" w:rsidRPr="00260C20" w:rsidRDefault="002173F5" w:rsidP="002173F5">
      <w:pPr>
        <w:pStyle w:val="Listenabsatz"/>
        <w:ind w:left="360"/>
        <w:rPr>
          <w:color w:val="002060"/>
        </w:rPr>
      </w:pPr>
      <w:r w:rsidRPr="00260C20">
        <w:rPr>
          <w:color w:val="002060"/>
        </w:rPr>
        <w:t>Der Bruttospielertrag für alle Schweizer Casino belief sich 2016 auf 689 Mio. CHF.</w:t>
      </w:r>
    </w:p>
    <w:p w:rsidR="00260C20" w:rsidRDefault="002173F5" w:rsidP="00260C20">
      <w:pPr>
        <w:pStyle w:val="Listenabsatz"/>
        <w:ind w:left="360"/>
        <w:rPr>
          <w:color w:val="002060"/>
        </w:rPr>
      </w:pPr>
      <w:r w:rsidRPr="00260C20">
        <w:rPr>
          <w:color w:val="002060"/>
        </w:rPr>
        <w:t xml:space="preserve">Der Marktanteil für Grandcasino Baden ist somit </w:t>
      </w:r>
      <w:r w:rsidR="00260C20" w:rsidRPr="00260C20">
        <w:rPr>
          <w:color w:val="002060"/>
        </w:rPr>
        <w:t>9%</w:t>
      </w:r>
      <w:r w:rsidR="002259D5">
        <w:rPr>
          <w:color w:val="002060"/>
        </w:rPr>
        <w:t>.</w:t>
      </w:r>
    </w:p>
    <w:p w:rsidR="007319D6" w:rsidRPr="00260C20" w:rsidRDefault="007319D6" w:rsidP="00260C20">
      <w:pPr>
        <w:pStyle w:val="Listenabsatz"/>
        <w:ind w:left="360"/>
        <w:rPr>
          <w:color w:val="002060"/>
        </w:rPr>
      </w:pPr>
      <w:r>
        <w:rPr>
          <w:color w:val="002060"/>
        </w:rPr>
        <w:t xml:space="preserve">Vgl. Jahresbericht 2016 Schweizer Casino Verband und Geschäftsbericht 2016 Stadtcasino Baden AG. </w:t>
      </w:r>
    </w:p>
    <w:p w:rsidR="000B2A9D" w:rsidRDefault="00260C20" w:rsidP="00260C20">
      <w:pPr>
        <w:pStyle w:val="Listenabsatz"/>
        <w:numPr>
          <w:ilvl w:val="0"/>
          <w:numId w:val="1"/>
        </w:numPr>
        <w:rPr>
          <w:noProof/>
          <w:lang w:eastAsia="de-CH"/>
        </w:rPr>
      </w:pPr>
      <w:r>
        <w:t xml:space="preserve">Nehmen wir an, dass Sie Anfang </w:t>
      </w:r>
      <w:r w:rsidR="0077140B">
        <w:t xml:space="preserve">November </w:t>
      </w:r>
      <w:r>
        <w:t xml:space="preserve">2015 10 Aktien Grandcasino Baden gekauft haben. Haben sie heutzutage Grund sich zu freuen? Haben Ihre Aktien an Wert eingebüsst oder gewonnen? Rechnen </w:t>
      </w:r>
      <w:r>
        <w:lastRenderedPageBreak/>
        <w:t>Sie in Prozent aus, wie viel die Wertentwicklung circa beträgt.</w:t>
      </w:r>
      <w:r w:rsidR="0077140B">
        <w:br/>
      </w:r>
      <w:r w:rsidR="0077140B" w:rsidRPr="003562A8">
        <w:rPr>
          <w:color w:val="002060"/>
        </w:rPr>
        <w:t>Der Wert der Aktie betrug November 2015 circa 520 CHF, heute liegt d</w:t>
      </w:r>
      <w:r w:rsidR="00414519">
        <w:rPr>
          <w:color w:val="002060"/>
        </w:rPr>
        <w:t>er Wert bei circa 480</w:t>
      </w:r>
      <w:r w:rsidR="0077140B" w:rsidRPr="003562A8">
        <w:rPr>
          <w:color w:val="002060"/>
        </w:rPr>
        <w:t xml:space="preserve"> CHF. Es entspricht</w:t>
      </w:r>
      <w:r w:rsidR="000B2A9D">
        <w:rPr>
          <w:color w:val="002060"/>
        </w:rPr>
        <w:t xml:space="preserve"> einen Wertverlust von circa 8%</w:t>
      </w:r>
      <w:r w:rsidR="0077140B" w:rsidRPr="003562A8">
        <w:rPr>
          <w:color w:val="002060"/>
        </w:rPr>
        <w:t>.</w:t>
      </w:r>
    </w:p>
    <w:p w:rsidR="000B2A9D" w:rsidRDefault="000B2A9D" w:rsidP="000B2A9D">
      <w:pPr>
        <w:rPr>
          <w:lang w:eastAsia="de-CH"/>
        </w:rPr>
      </w:pPr>
    </w:p>
    <w:p w:rsidR="000B2A9D" w:rsidRPr="000B2A9D" w:rsidRDefault="000B2A9D" w:rsidP="000B2A9D">
      <w:pPr>
        <w:jc w:val="center"/>
        <w:rPr>
          <w:lang w:eastAsia="de-CH"/>
        </w:rPr>
      </w:pPr>
    </w:p>
    <w:p w:rsidR="00207D78" w:rsidRDefault="0077140B" w:rsidP="00044E83">
      <w:pPr>
        <w:pStyle w:val="Listenabsatz"/>
        <w:ind w:left="360"/>
        <w:rPr>
          <w:u w:val="single"/>
        </w:rPr>
      </w:pPr>
      <w:r w:rsidRPr="003562A8">
        <w:rPr>
          <w:noProof/>
          <w:lang w:eastAsia="de-CH"/>
        </w:rPr>
        <w:br/>
      </w:r>
      <w:r w:rsidR="007B6D84">
        <w:rPr>
          <w:noProof/>
          <w:lang w:eastAsia="de-CH"/>
        </w:rPr>
        <w:drawing>
          <wp:inline distT="0" distB="0" distL="0" distR="0" wp14:anchorId="6135036F" wp14:editId="5014812D">
            <wp:extent cx="2781300" cy="2123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191" cy="2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C20">
        <w:br/>
      </w:r>
      <w:r w:rsidR="00260C20">
        <w:br/>
      </w:r>
    </w:p>
    <w:p w:rsidR="008C6A4B" w:rsidRPr="00260C20" w:rsidRDefault="00207D78" w:rsidP="00207D78">
      <w:pPr>
        <w:pStyle w:val="Listenabsatz"/>
        <w:ind w:left="0"/>
        <w:rPr>
          <w:u w:val="single"/>
        </w:rPr>
      </w:pPr>
      <w:r>
        <w:rPr>
          <w:u w:val="single"/>
        </w:rPr>
        <w:t xml:space="preserve">Gruppe </w:t>
      </w:r>
      <w:r w:rsidR="008C6A4B" w:rsidRPr="00260C20">
        <w:rPr>
          <w:u w:val="single"/>
        </w:rPr>
        <w:t xml:space="preserve"> 4</w:t>
      </w:r>
    </w:p>
    <w:p w:rsidR="008C6A4B" w:rsidRPr="00E66BF2" w:rsidRDefault="008C6A4B" w:rsidP="008C6A4B">
      <w:pPr>
        <w:pStyle w:val="Listenabsatz"/>
        <w:numPr>
          <w:ilvl w:val="0"/>
          <w:numId w:val="1"/>
        </w:numPr>
        <w:rPr>
          <w:color w:val="002060"/>
        </w:rPr>
      </w:pPr>
      <w:r>
        <w:t>Wie hat sich der</w:t>
      </w:r>
      <w:r w:rsidR="00207D78">
        <w:t xml:space="preserve"> Bru</w:t>
      </w:r>
      <w:r w:rsidR="00841845">
        <w:t>ttospielertrag</w:t>
      </w:r>
      <w:r w:rsidR="009E1512">
        <w:t xml:space="preserve"> 2016</w:t>
      </w:r>
      <w:r w:rsidR="0007060F">
        <w:t xml:space="preserve"> </w:t>
      </w:r>
      <w:r w:rsidRPr="008C6A4B">
        <w:t>vom Casino Baden</w:t>
      </w:r>
      <w:r>
        <w:t xml:space="preserve"> im Vergleich zum </w:t>
      </w:r>
      <w:r w:rsidR="0007060F">
        <w:t>Geschäftsjahr 2015</w:t>
      </w:r>
      <w:r>
        <w:t xml:space="preserve"> entwickelt? Sie rechnen es nominell und prozentua</w:t>
      </w:r>
      <w:r w:rsidR="0098615D">
        <w:t>l aus</w:t>
      </w:r>
      <w:r>
        <w:t>.</w:t>
      </w:r>
      <w:r w:rsidR="00A370E2">
        <w:br/>
      </w:r>
      <w:r w:rsidR="000B2A9D">
        <w:rPr>
          <w:color w:val="002060"/>
        </w:rPr>
        <w:t>61728 - 63775</w:t>
      </w:r>
      <w:r w:rsidR="00A370E2" w:rsidRPr="00E66BF2">
        <w:rPr>
          <w:color w:val="002060"/>
        </w:rPr>
        <w:t xml:space="preserve">= - </w:t>
      </w:r>
      <w:r w:rsidR="000B2A9D">
        <w:rPr>
          <w:color w:val="002060"/>
        </w:rPr>
        <w:t>2 047 TCHF (- 3,2</w:t>
      </w:r>
      <w:r w:rsidR="00A370E2" w:rsidRPr="00E66BF2">
        <w:rPr>
          <w:color w:val="002060"/>
        </w:rPr>
        <w:t>%)</w:t>
      </w:r>
    </w:p>
    <w:p w:rsidR="008C6A4B" w:rsidRDefault="00841845" w:rsidP="008C6A4B">
      <w:pPr>
        <w:pStyle w:val="Listenabsatz"/>
        <w:numPr>
          <w:ilvl w:val="0"/>
          <w:numId w:val="1"/>
        </w:numPr>
      </w:pPr>
      <w:r>
        <w:t xml:space="preserve">Wie </w:t>
      </w:r>
      <w:r w:rsidR="00F41C82">
        <w:t>hat</w:t>
      </w:r>
      <w:r w:rsidR="00063C88">
        <w:t xml:space="preserve"> sich der Bruttospielertrag</w:t>
      </w:r>
      <w:r w:rsidR="008C6A4B">
        <w:t xml:space="preserve"> </w:t>
      </w:r>
      <w:r w:rsidR="009E1512">
        <w:t xml:space="preserve">2016 </w:t>
      </w:r>
      <w:r w:rsidR="008C6A4B">
        <w:t>alle</w:t>
      </w:r>
      <w:r w:rsidR="00063C88">
        <w:t>r</w:t>
      </w:r>
      <w:r w:rsidR="008C6A4B">
        <w:t xml:space="preserve"> Schweizer Casinos im Vergleich </w:t>
      </w:r>
      <w:r w:rsidR="00063C88">
        <w:t>zum Geschäftsjahr 2015</w:t>
      </w:r>
      <w:r w:rsidR="008C6A4B">
        <w:t xml:space="preserve"> entwickelt?</w:t>
      </w:r>
      <w:r>
        <w:br/>
      </w:r>
      <w:r w:rsidR="005B3613" w:rsidRPr="00E66BF2">
        <w:rPr>
          <w:color w:val="002060"/>
        </w:rPr>
        <w:t xml:space="preserve">689 -681 = 8 </w:t>
      </w:r>
      <w:proofErr w:type="spellStart"/>
      <w:r w:rsidR="005B3613" w:rsidRPr="00E66BF2">
        <w:rPr>
          <w:color w:val="002060"/>
        </w:rPr>
        <w:t>Mio</w:t>
      </w:r>
      <w:proofErr w:type="spellEnd"/>
      <w:r w:rsidR="005B3613" w:rsidRPr="00E66BF2">
        <w:rPr>
          <w:color w:val="002060"/>
        </w:rPr>
        <w:t xml:space="preserve"> CHF (+1.2%)</w:t>
      </w:r>
    </w:p>
    <w:p w:rsidR="008C6A4B" w:rsidRPr="00E66BF2" w:rsidRDefault="009E1512" w:rsidP="008C6A4B">
      <w:pPr>
        <w:pStyle w:val="Listenabsatz"/>
        <w:numPr>
          <w:ilvl w:val="0"/>
          <w:numId w:val="1"/>
        </w:numPr>
        <w:rPr>
          <w:color w:val="002060"/>
        </w:rPr>
      </w:pPr>
      <w:r>
        <w:t>Suchen Sie</w:t>
      </w:r>
      <w:r w:rsidR="008C6A4B">
        <w:t xml:space="preserve"> Gründe für die aktu</w:t>
      </w:r>
      <w:r w:rsidR="005B3613">
        <w:t xml:space="preserve">elle Umsatzentwicklung (Frage </w:t>
      </w:r>
      <w:r w:rsidR="00746221">
        <w:t xml:space="preserve">15 bzw. </w:t>
      </w:r>
      <w:r w:rsidR="005B3613">
        <w:t>16</w:t>
      </w:r>
      <w:r w:rsidR="008C6A4B">
        <w:t xml:space="preserve">). </w:t>
      </w:r>
      <w:r w:rsidR="005B3613">
        <w:br/>
      </w:r>
      <w:r w:rsidR="005B3613" w:rsidRPr="00E66BF2">
        <w:rPr>
          <w:color w:val="002060"/>
        </w:rPr>
        <w:t>Frankenstärke (es wird mehr im Ausland gespielt bzw. es kommen weniger Touristen in den Schweizer Casinos), Rauchverbot</w:t>
      </w:r>
      <w:r w:rsidR="00F65470" w:rsidRPr="00E66BF2">
        <w:rPr>
          <w:color w:val="002060"/>
        </w:rPr>
        <w:t>, Neue Konkurrenzangebote (Internet, Angebot aus dem grenznahen Ausland, illegale Clubs)</w:t>
      </w:r>
      <w:r w:rsidR="008705F4">
        <w:rPr>
          <w:color w:val="002060"/>
        </w:rPr>
        <w:t>, Eröffnung des Spielcasinos Zürich 2012 (seitdem ist der Umsatz kontinuierlich gesunken).</w:t>
      </w:r>
    </w:p>
    <w:p w:rsidR="008C6A4B" w:rsidRPr="00E66BF2" w:rsidRDefault="008C6A4B" w:rsidP="008C6A4B">
      <w:pPr>
        <w:pStyle w:val="Listenabsatz"/>
        <w:numPr>
          <w:ilvl w:val="0"/>
          <w:numId w:val="1"/>
        </w:numPr>
        <w:rPr>
          <w:color w:val="002060"/>
        </w:rPr>
      </w:pPr>
      <w:r>
        <w:t>Welche Aufgabe spielt der Schweizer Casino Verband aus?</w:t>
      </w:r>
      <w:r w:rsidR="00F65470">
        <w:br/>
      </w:r>
      <w:r w:rsidR="00F65470" w:rsidRPr="00E66BF2">
        <w:rPr>
          <w:color w:val="002060"/>
        </w:rPr>
        <w:t xml:space="preserve">Die Interessen der Schweizer Casinos vertreten. Ein Verband versucht u.a. Einfluss bei der Verabschiedung von neuen Gesetzten auszuüben. </w:t>
      </w:r>
    </w:p>
    <w:p w:rsidR="00E42424" w:rsidRPr="008C6A4B" w:rsidRDefault="00F65470" w:rsidP="008C6A4B">
      <w:pPr>
        <w:pStyle w:val="Listenabsatz"/>
        <w:numPr>
          <w:ilvl w:val="0"/>
          <w:numId w:val="1"/>
        </w:numPr>
      </w:pPr>
      <w:r>
        <w:t>Sie schilden ein</w:t>
      </w:r>
      <w:r w:rsidR="008C6A4B">
        <w:t xml:space="preserve"> aktuelle</w:t>
      </w:r>
      <w:r>
        <w:t>s Problem</w:t>
      </w:r>
      <w:r w:rsidR="008C6A4B">
        <w:t xml:space="preserve"> der Schweizer Casino und sie beschreiben, welche Lösungen die Casinos sich rechtlich wünschen. </w:t>
      </w:r>
      <w:r>
        <w:br/>
      </w:r>
      <w:r w:rsidRPr="00E66BF2">
        <w:rPr>
          <w:color w:val="002060"/>
        </w:rPr>
        <w:t xml:space="preserve">Wegen Umsatzrückgänge möchten die Casinos, dass das illegale Geldspiel im Internet gesperrt wird. Zudem möchten sie Sportwetten sowie Geschicklichkeitsspiele anbieten können. </w:t>
      </w:r>
      <w:r w:rsidRPr="00E66BF2">
        <w:rPr>
          <w:color w:val="002060"/>
        </w:rPr>
        <w:br/>
      </w:r>
      <w:r w:rsidR="008C6A4B" w:rsidRPr="00E66BF2">
        <w:rPr>
          <w:color w:val="002060"/>
        </w:rPr>
        <w:br/>
      </w:r>
      <w:r w:rsidR="001E6334" w:rsidRPr="008C6A4B">
        <w:br/>
      </w:r>
    </w:p>
    <w:sectPr w:rsidR="00E42424" w:rsidRPr="008C6A4B" w:rsidSect="003B3D53">
      <w:headerReference w:type="default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E8A" w:rsidRDefault="005C1E8A" w:rsidP="00465295">
      <w:pPr>
        <w:spacing w:after="0" w:line="240" w:lineRule="auto"/>
      </w:pPr>
      <w:r>
        <w:separator/>
      </w:r>
    </w:p>
  </w:endnote>
  <w:endnote w:type="continuationSeparator" w:id="0">
    <w:p w:rsidR="005C1E8A" w:rsidRDefault="005C1E8A" w:rsidP="0046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122" w:rsidRPr="00370104" w:rsidRDefault="002C1122" w:rsidP="002C1122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Sylvie Bonaparte</w:t>
    </w:r>
    <w:r>
      <w:rPr>
        <w:rFonts w:ascii="Tahoma" w:hAnsi="Tahoma" w:cs="Tahoma"/>
        <w:sz w:val="20"/>
        <w:szCs w:val="20"/>
      </w:rPr>
      <w:tab/>
    </w:r>
    <w:r w:rsidR="000B2A9D">
      <w:rPr>
        <w:rFonts w:ascii="Tahoma" w:hAnsi="Tahoma" w:cs="Tahoma"/>
        <w:sz w:val="20"/>
        <w:szCs w:val="20"/>
      </w:rPr>
      <w:t xml:space="preserve">August </w:t>
    </w:r>
    <w:r w:rsidR="008C6A4B">
      <w:rPr>
        <w:rFonts w:ascii="Tahoma" w:hAnsi="Tahoma" w:cs="Tahoma"/>
        <w:sz w:val="20"/>
        <w:szCs w:val="20"/>
      </w:rPr>
      <w:t>2017</w:t>
    </w:r>
    <w:r w:rsidRPr="00370104">
      <w:rPr>
        <w:rFonts w:ascii="Tahoma" w:hAnsi="Tahoma" w:cs="Tahoma"/>
        <w:sz w:val="20"/>
        <w:szCs w:val="20"/>
      </w:rPr>
      <w:tab/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 xml:space="preserve"> PAGE   \* MERGEFORMAT 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FF70A6">
      <w:rPr>
        <w:rFonts w:ascii="Tahoma" w:hAnsi="Tahoma" w:cs="Tahoma"/>
        <w:noProof/>
        <w:sz w:val="20"/>
        <w:szCs w:val="20"/>
      </w:rPr>
      <w:t>3</w:t>
    </w:r>
    <w:r w:rsidRPr="00370104">
      <w:rPr>
        <w:rFonts w:ascii="Tahoma" w:hAnsi="Tahoma" w:cs="Tahoma"/>
        <w:sz w:val="20"/>
        <w:szCs w:val="20"/>
      </w:rPr>
      <w:fldChar w:fldCharType="end"/>
    </w:r>
    <w:r w:rsidRPr="00370104">
      <w:rPr>
        <w:rFonts w:ascii="Tahoma" w:hAnsi="Tahoma" w:cs="Tahoma"/>
        <w:sz w:val="20"/>
        <w:szCs w:val="20"/>
      </w:rPr>
      <w:t>/</w:t>
    </w:r>
    <w:r w:rsidRPr="00370104">
      <w:rPr>
        <w:rFonts w:ascii="Tahoma" w:hAnsi="Tahoma" w:cs="Tahoma"/>
        <w:sz w:val="20"/>
        <w:szCs w:val="20"/>
      </w:rPr>
      <w:fldChar w:fldCharType="begin"/>
    </w:r>
    <w:r w:rsidRPr="00370104">
      <w:rPr>
        <w:rFonts w:ascii="Tahoma" w:hAnsi="Tahoma" w:cs="Tahoma"/>
        <w:sz w:val="20"/>
        <w:szCs w:val="20"/>
      </w:rPr>
      <w:instrText>NUMPAGES  \* Arabic  \* MERGEFORMAT</w:instrText>
    </w:r>
    <w:r w:rsidRPr="00370104">
      <w:rPr>
        <w:rFonts w:ascii="Tahoma" w:hAnsi="Tahoma" w:cs="Tahoma"/>
        <w:sz w:val="20"/>
        <w:szCs w:val="20"/>
      </w:rPr>
      <w:fldChar w:fldCharType="separate"/>
    </w:r>
    <w:r w:rsidR="00FF70A6" w:rsidRPr="00FF70A6">
      <w:rPr>
        <w:rFonts w:ascii="Tahoma" w:hAnsi="Tahoma" w:cs="Tahoma"/>
        <w:noProof/>
        <w:sz w:val="20"/>
        <w:szCs w:val="20"/>
        <w:lang w:val="de-DE"/>
      </w:rPr>
      <w:t>4</w:t>
    </w:r>
    <w:r w:rsidRPr="00370104">
      <w:rPr>
        <w:rFonts w:ascii="Tahoma" w:hAnsi="Tahoma" w:cs="Tahoma"/>
        <w:noProof/>
        <w:sz w:val="20"/>
        <w:szCs w:val="20"/>
        <w:lang w:val="de-DE"/>
      </w:rPr>
      <w:fldChar w:fldCharType="end"/>
    </w:r>
  </w:p>
  <w:p w:rsidR="004A44A1" w:rsidRPr="002C1122" w:rsidRDefault="005C1E8A" w:rsidP="002C112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E8A" w:rsidRDefault="005C1E8A" w:rsidP="00465295">
      <w:pPr>
        <w:spacing w:after="0" w:line="240" w:lineRule="auto"/>
      </w:pPr>
      <w:r>
        <w:separator/>
      </w:r>
    </w:p>
  </w:footnote>
  <w:footnote w:type="continuationSeparator" w:id="0">
    <w:p w:rsidR="005C1E8A" w:rsidRDefault="005C1E8A" w:rsidP="00465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777" w:rsidRPr="00370104" w:rsidRDefault="00BE4694" w:rsidP="00C1656C">
    <w:pPr>
      <w:pStyle w:val="Kopfzeile"/>
      <w:tabs>
        <w:tab w:val="clear" w:pos="4536"/>
        <w:tab w:val="clear" w:pos="9072"/>
        <w:tab w:val="center" w:pos="4820"/>
        <w:tab w:val="right" w:pos="9638"/>
      </w:tabs>
      <w:rPr>
        <w:rFonts w:ascii="Tahoma" w:hAnsi="Tahoma" w:cs="Tahoma"/>
        <w:sz w:val="20"/>
        <w:szCs w:val="20"/>
      </w:rPr>
    </w:pPr>
    <w:r w:rsidRPr="00370104">
      <w:rPr>
        <w:rFonts w:ascii="Tahoma" w:hAnsi="Tahoma" w:cs="Tahoma"/>
        <w:sz w:val="20"/>
        <w:szCs w:val="20"/>
      </w:rPr>
      <w:t>BB Baden</w:t>
    </w:r>
    <w:r w:rsidRPr="00370104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</w:rPr>
      <w:tab/>
    </w:r>
    <w:r w:rsidR="007B6D84">
      <w:rPr>
        <w:rFonts w:ascii="Tahoma" w:hAnsi="Tahoma" w:cs="Tahoma"/>
        <w:sz w:val="20"/>
        <w:szCs w:val="20"/>
      </w:rPr>
      <w:t>Wirtschaft und Recht</w:t>
    </w:r>
    <w:r w:rsidRPr="00370104">
      <w:rPr>
        <w:rFonts w:ascii="Tahoma" w:hAnsi="Tahoma" w:cs="Tahom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94AE1"/>
    <w:multiLevelType w:val="hybridMultilevel"/>
    <w:tmpl w:val="99664C9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82EB7"/>
    <w:multiLevelType w:val="hybridMultilevel"/>
    <w:tmpl w:val="D6644CF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36EB0"/>
    <w:multiLevelType w:val="hybridMultilevel"/>
    <w:tmpl w:val="51488DB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95"/>
    <w:rsid w:val="00006944"/>
    <w:rsid w:val="00044E83"/>
    <w:rsid w:val="00063C88"/>
    <w:rsid w:val="0007060F"/>
    <w:rsid w:val="000B2A9D"/>
    <w:rsid w:val="00133844"/>
    <w:rsid w:val="00163441"/>
    <w:rsid w:val="001A23B6"/>
    <w:rsid w:val="001C2A57"/>
    <w:rsid w:val="001E6334"/>
    <w:rsid w:val="001F7533"/>
    <w:rsid w:val="002039EC"/>
    <w:rsid w:val="00207D78"/>
    <w:rsid w:val="002173F5"/>
    <w:rsid w:val="002259D5"/>
    <w:rsid w:val="00260C20"/>
    <w:rsid w:val="0026765E"/>
    <w:rsid w:val="002A6A58"/>
    <w:rsid w:val="002B5940"/>
    <w:rsid w:val="002C1122"/>
    <w:rsid w:val="00311251"/>
    <w:rsid w:val="00355BEA"/>
    <w:rsid w:val="003562A8"/>
    <w:rsid w:val="0038597C"/>
    <w:rsid w:val="003F17FF"/>
    <w:rsid w:val="00414519"/>
    <w:rsid w:val="00465295"/>
    <w:rsid w:val="0047355B"/>
    <w:rsid w:val="004E5922"/>
    <w:rsid w:val="0057363B"/>
    <w:rsid w:val="00576FFD"/>
    <w:rsid w:val="005877A0"/>
    <w:rsid w:val="005B3613"/>
    <w:rsid w:val="005C1E8A"/>
    <w:rsid w:val="00615993"/>
    <w:rsid w:val="00634A37"/>
    <w:rsid w:val="0069036B"/>
    <w:rsid w:val="007319D6"/>
    <w:rsid w:val="00746221"/>
    <w:rsid w:val="0077140B"/>
    <w:rsid w:val="007B6D84"/>
    <w:rsid w:val="007D34FB"/>
    <w:rsid w:val="00803A66"/>
    <w:rsid w:val="00831F4F"/>
    <w:rsid w:val="00833494"/>
    <w:rsid w:val="00841845"/>
    <w:rsid w:val="00861784"/>
    <w:rsid w:val="008705F4"/>
    <w:rsid w:val="008C6A4B"/>
    <w:rsid w:val="0098615D"/>
    <w:rsid w:val="009B1910"/>
    <w:rsid w:val="009E1512"/>
    <w:rsid w:val="009F12D3"/>
    <w:rsid w:val="00A370E2"/>
    <w:rsid w:val="00A62BA8"/>
    <w:rsid w:val="00B0491E"/>
    <w:rsid w:val="00BE4694"/>
    <w:rsid w:val="00C77738"/>
    <w:rsid w:val="00CB7F93"/>
    <w:rsid w:val="00D32BB0"/>
    <w:rsid w:val="00E23D3D"/>
    <w:rsid w:val="00E4104C"/>
    <w:rsid w:val="00E42424"/>
    <w:rsid w:val="00E66BF2"/>
    <w:rsid w:val="00E87A35"/>
    <w:rsid w:val="00F41C82"/>
    <w:rsid w:val="00F65470"/>
    <w:rsid w:val="00FA75CE"/>
    <w:rsid w:val="00FC1D3A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7E622"/>
  <w15:chartTrackingRefBased/>
  <w15:docId w15:val="{F4001529-66AC-40DA-8CED-FB598588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65295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465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5295"/>
  </w:style>
  <w:style w:type="paragraph" w:styleId="Kopfzeile">
    <w:name w:val="header"/>
    <w:basedOn w:val="Standard"/>
    <w:link w:val="KopfzeileZchn"/>
    <w:uiPriority w:val="99"/>
    <w:unhideWhenUsed/>
    <w:rsid w:val="00465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5295"/>
  </w:style>
  <w:style w:type="paragraph" w:styleId="Listenabsatz">
    <w:name w:val="List Paragraph"/>
    <w:basedOn w:val="Standard"/>
    <w:uiPriority w:val="34"/>
    <w:qFormat/>
    <w:rsid w:val="00634A3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62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832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Bonaparte</dc:creator>
  <cp:keywords/>
  <dc:description/>
  <cp:lastModifiedBy>Sonja Amstutz</cp:lastModifiedBy>
  <cp:revision>16</cp:revision>
  <dcterms:created xsi:type="dcterms:W3CDTF">2017-08-13T10:52:00Z</dcterms:created>
  <dcterms:modified xsi:type="dcterms:W3CDTF">2017-08-23T13:36:00Z</dcterms:modified>
</cp:coreProperties>
</file>