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CBC" w:rsidRDefault="00142CBC" w:rsidP="00BC2071">
      <w:pPr>
        <w:spacing w:after="0" w:line="240" w:lineRule="auto"/>
        <w:rPr>
          <w:b/>
          <w:sz w:val="28"/>
          <w:szCs w:val="28"/>
        </w:rPr>
      </w:pPr>
      <w:r>
        <w:rPr>
          <w:b/>
          <w:sz w:val="28"/>
          <w:szCs w:val="28"/>
        </w:rPr>
        <w:t>Unternehmensziele</w:t>
      </w:r>
    </w:p>
    <w:p w:rsidR="003B2305" w:rsidRDefault="003B2305" w:rsidP="00BC2071">
      <w:pPr>
        <w:spacing w:after="0" w:line="240" w:lineRule="auto"/>
        <w:rPr>
          <w:b/>
          <w:sz w:val="28"/>
          <w:szCs w:val="28"/>
        </w:rPr>
      </w:pPr>
    </w:p>
    <w:p w:rsidR="00142CBC" w:rsidRDefault="00281BD3" w:rsidP="00BC2071">
      <w:pPr>
        <w:spacing w:after="0" w:line="240" w:lineRule="auto"/>
        <w:rPr>
          <w:b/>
          <w:sz w:val="24"/>
          <w:szCs w:val="24"/>
        </w:rPr>
      </w:pPr>
      <w:r>
        <w:rPr>
          <w:b/>
          <w:sz w:val="24"/>
          <w:szCs w:val="24"/>
        </w:rPr>
        <w:t xml:space="preserve">Exkurs zu </w:t>
      </w:r>
      <w:r w:rsidR="00142CBC" w:rsidRPr="008D00AD">
        <w:rPr>
          <w:b/>
          <w:sz w:val="24"/>
          <w:szCs w:val="24"/>
        </w:rPr>
        <w:t>Aufgabe 2</w:t>
      </w:r>
      <w:r w:rsidR="00BC2071">
        <w:rPr>
          <w:b/>
          <w:sz w:val="24"/>
          <w:szCs w:val="24"/>
        </w:rPr>
        <w:t xml:space="preserve"> – Beispiel Casino Baden AG </w:t>
      </w:r>
    </w:p>
    <w:p w:rsidR="00620AAD" w:rsidRPr="008D00AD" w:rsidRDefault="00620AAD" w:rsidP="00BC2071">
      <w:pPr>
        <w:spacing w:after="0" w:line="240" w:lineRule="auto"/>
        <w:rPr>
          <w:sz w:val="24"/>
          <w:szCs w:val="24"/>
        </w:rPr>
      </w:pPr>
    </w:p>
    <w:p w:rsidR="00BC2071" w:rsidRDefault="00BC2071" w:rsidP="00BC2071">
      <w:pPr>
        <w:spacing w:after="0" w:line="240" w:lineRule="auto"/>
        <w:rPr>
          <w:sz w:val="24"/>
          <w:szCs w:val="24"/>
        </w:rPr>
      </w:pPr>
      <w:r>
        <w:rPr>
          <w:sz w:val="24"/>
          <w:szCs w:val="24"/>
        </w:rPr>
        <w:t>Konzernerfolgsrechnung der Stadtcasino Baden Gruppe</w:t>
      </w:r>
    </w:p>
    <w:p w:rsidR="00BC2071" w:rsidRDefault="00BC2071" w:rsidP="00BC2071">
      <w:pPr>
        <w:spacing w:after="0" w:line="240" w:lineRule="auto"/>
        <w:rPr>
          <w:sz w:val="24"/>
          <w:szCs w:val="24"/>
        </w:rPr>
      </w:pPr>
      <w:r w:rsidRPr="00BC2071">
        <w:rPr>
          <w:noProof/>
          <w:sz w:val="24"/>
          <w:szCs w:val="24"/>
          <w:lang w:eastAsia="de-CH"/>
        </w:rPr>
        <w:drawing>
          <wp:inline distT="0" distB="0" distL="0" distR="0">
            <wp:extent cx="4079240" cy="2981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9240" cy="2981960"/>
                    </a:xfrm>
                    <a:prstGeom prst="rect">
                      <a:avLst/>
                    </a:prstGeom>
                    <a:noFill/>
                    <a:ln>
                      <a:noFill/>
                    </a:ln>
                  </pic:spPr>
                </pic:pic>
              </a:graphicData>
            </a:graphic>
          </wp:inline>
        </w:drawing>
      </w:r>
    </w:p>
    <w:p w:rsidR="00BC2071" w:rsidRDefault="00BC2071" w:rsidP="00BC2071">
      <w:pPr>
        <w:spacing w:after="0" w:line="240" w:lineRule="auto"/>
        <w:rPr>
          <w:sz w:val="20"/>
          <w:szCs w:val="20"/>
        </w:rPr>
      </w:pPr>
    </w:p>
    <w:p w:rsidR="00BC2071" w:rsidRPr="00BC2071" w:rsidRDefault="00BC2071" w:rsidP="00BC2071">
      <w:pPr>
        <w:spacing w:after="0" w:line="240" w:lineRule="auto"/>
        <w:rPr>
          <w:sz w:val="20"/>
          <w:szCs w:val="20"/>
        </w:rPr>
      </w:pPr>
      <w:r w:rsidRPr="00BC2071">
        <w:rPr>
          <w:sz w:val="20"/>
          <w:szCs w:val="20"/>
        </w:rPr>
        <w:t xml:space="preserve">Anhang 1: </w:t>
      </w:r>
    </w:p>
    <w:p w:rsidR="00BC2071" w:rsidRDefault="00BC2071" w:rsidP="00BC2071">
      <w:pPr>
        <w:spacing w:after="0" w:line="240" w:lineRule="auto"/>
        <w:rPr>
          <w:sz w:val="24"/>
          <w:szCs w:val="24"/>
        </w:rPr>
      </w:pPr>
      <w:r w:rsidRPr="00BC2071">
        <w:rPr>
          <w:noProof/>
          <w:sz w:val="24"/>
          <w:szCs w:val="24"/>
          <w:lang w:eastAsia="de-CH"/>
        </w:rPr>
        <w:drawing>
          <wp:inline distT="0" distB="0" distL="0" distR="0">
            <wp:extent cx="4048760" cy="167640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760" cy="1676400"/>
                    </a:xfrm>
                    <a:prstGeom prst="rect">
                      <a:avLst/>
                    </a:prstGeom>
                    <a:noFill/>
                    <a:ln>
                      <a:noFill/>
                    </a:ln>
                  </pic:spPr>
                </pic:pic>
              </a:graphicData>
            </a:graphic>
          </wp:inline>
        </w:drawing>
      </w:r>
    </w:p>
    <w:p w:rsidR="00897147" w:rsidRDefault="00897147">
      <w:pPr>
        <w:spacing w:after="160" w:line="259" w:lineRule="auto"/>
        <w:rPr>
          <w:sz w:val="24"/>
          <w:szCs w:val="24"/>
        </w:rPr>
      </w:pPr>
      <w:r>
        <w:rPr>
          <w:sz w:val="24"/>
          <w:szCs w:val="24"/>
        </w:rPr>
        <w:br w:type="page"/>
      </w:r>
    </w:p>
    <w:p w:rsidR="002C2D65" w:rsidRDefault="002C2D65">
      <w:pPr>
        <w:spacing w:after="160" w:line="259" w:lineRule="auto"/>
        <w:rPr>
          <w:sz w:val="24"/>
          <w:szCs w:val="24"/>
        </w:rPr>
      </w:pPr>
      <w:r w:rsidRPr="002C2D65">
        <w:rPr>
          <w:noProof/>
          <w:sz w:val="24"/>
          <w:szCs w:val="24"/>
          <w:lang w:eastAsia="de-CH"/>
        </w:rPr>
        <w:lastRenderedPageBreak/>
        <w:drawing>
          <wp:inline distT="0" distB="0" distL="0" distR="0">
            <wp:extent cx="4109720" cy="354584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720" cy="3545840"/>
                    </a:xfrm>
                    <a:prstGeom prst="rect">
                      <a:avLst/>
                    </a:prstGeom>
                    <a:noFill/>
                    <a:ln>
                      <a:noFill/>
                    </a:ln>
                  </pic:spPr>
                </pic:pic>
              </a:graphicData>
            </a:graphic>
          </wp:inline>
        </w:drawing>
      </w:r>
    </w:p>
    <w:p w:rsidR="002C2D65" w:rsidRDefault="002C2D65">
      <w:pPr>
        <w:spacing w:after="160" w:line="259" w:lineRule="auto"/>
        <w:rPr>
          <w:sz w:val="24"/>
          <w:szCs w:val="24"/>
        </w:rPr>
      </w:pPr>
    </w:p>
    <w:p w:rsidR="002C2D65" w:rsidRDefault="002C2D65">
      <w:pPr>
        <w:spacing w:after="160" w:line="259" w:lineRule="auto"/>
        <w:rPr>
          <w:sz w:val="24"/>
          <w:szCs w:val="24"/>
        </w:rPr>
      </w:pPr>
      <w:r w:rsidRPr="002C2D65">
        <w:rPr>
          <w:noProof/>
          <w:sz w:val="24"/>
          <w:szCs w:val="24"/>
          <w:lang w:eastAsia="de-CH"/>
        </w:rPr>
        <w:drawing>
          <wp:inline distT="0" distB="0" distL="0" distR="0">
            <wp:extent cx="4079240" cy="328676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240" cy="3286760"/>
                    </a:xfrm>
                    <a:prstGeom prst="rect">
                      <a:avLst/>
                    </a:prstGeom>
                    <a:noFill/>
                    <a:ln>
                      <a:noFill/>
                    </a:ln>
                  </pic:spPr>
                </pic:pic>
              </a:graphicData>
            </a:graphic>
          </wp:inline>
        </w:drawing>
      </w:r>
    </w:p>
    <w:p w:rsidR="002C2D65" w:rsidRDefault="002C2D65">
      <w:pPr>
        <w:spacing w:after="160" w:line="259" w:lineRule="auto"/>
        <w:rPr>
          <w:sz w:val="24"/>
          <w:szCs w:val="24"/>
        </w:rPr>
      </w:pPr>
      <w:r>
        <w:rPr>
          <w:sz w:val="24"/>
          <w:szCs w:val="24"/>
        </w:rPr>
        <w:br w:type="page"/>
      </w:r>
    </w:p>
    <w:p w:rsidR="00BC2071" w:rsidRDefault="00BC2071" w:rsidP="00BC2071">
      <w:pPr>
        <w:spacing w:after="0" w:line="240" w:lineRule="auto"/>
        <w:rPr>
          <w:sz w:val="24"/>
          <w:szCs w:val="24"/>
        </w:rPr>
      </w:pPr>
    </w:p>
    <w:p w:rsidR="003B12D1" w:rsidRDefault="003B12D1" w:rsidP="00BC2071">
      <w:pPr>
        <w:spacing w:after="0" w:line="240" w:lineRule="auto"/>
        <w:rPr>
          <w:color w:val="2E74B5" w:themeColor="accent1" w:themeShade="BF"/>
          <w:sz w:val="24"/>
          <w:szCs w:val="24"/>
        </w:rPr>
      </w:pPr>
      <w:r>
        <w:rPr>
          <w:color w:val="2E74B5" w:themeColor="accent1" w:themeShade="BF"/>
          <w:sz w:val="24"/>
          <w:szCs w:val="24"/>
        </w:rPr>
        <w:t xml:space="preserve">Wichtige Begriffe: </w:t>
      </w:r>
    </w:p>
    <w:p w:rsidR="003B12D1" w:rsidRDefault="003B12D1" w:rsidP="00BC2071">
      <w:pPr>
        <w:spacing w:after="0" w:line="240" w:lineRule="auto"/>
        <w:rPr>
          <w:color w:val="2E74B5" w:themeColor="accent1" w:themeShade="BF"/>
          <w:sz w:val="24"/>
          <w:szCs w:val="24"/>
        </w:rPr>
      </w:pPr>
    </w:p>
    <w:p w:rsidR="003B12D1" w:rsidRDefault="003B12D1" w:rsidP="00BC2071">
      <w:pPr>
        <w:spacing w:after="0" w:line="240" w:lineRule="auto"/>
        <w:rPr>
          <w:color w:val="2E74B5" w:themeColor="accent1" w:themeShade="BF"/>
          <w:sz w:val="24"/>
          <w:szCs w:val="24"/>
        </w:rPr>
      </w:pPr>
      <w:r>
        <w:rPr>
          <w:noProof/>
          <w:color w:val="2E74B5" w:themeColor="accent1" w:themeShade="BF"/>
          <w:sz w:val="24"/>
          <w:szCs w:val="24"/>
          <w:lang w:eastAsia="de-CH"/>
        </w:rPr>
        <w:drawing>
          <wp:inline distT="0" distB="0" distL="0" distR="0">
            <wp:extent cx="5486400" cy="3200400"/>
            <wp:effectExtent l="38100" t="0" r="1905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C2071" w:rsidRPr="00620AAD" w:rsidRDefault="00BC2071" w:rsidP="00BC2071">
      <w:pPr>
        <w:spacing w:after="0" w:line="240" w:lineRule="auto"/>
        <w:rPr>
          <w:color w:val="2E74B5" w:themeColor="accent1" w:themeShade="BF"/>
          <w:sz w:val="24"/>
          <w:szCs w:val="24"/>
        </w:rPr>
      </w:pPr>
    </w:p>
    <w:p w:rsidR="00911621" w:rsidRPr="00027236" w:rsidRDefault="00620AAD" w:rsidP="00BB7A1A">
      <w:pPr>
        <w:spacing w:after="0" w:line="240" w:lineRule="auto"/>
        <w:ind w:left="1416" w:hanging="1416"/>
        <w:rPr>
          <w:color w:val="2E74B5" w:themeColor="accent1" w:themeShade="BF"/>
          <w:sz w:val="24"/>
          <w:szCs w:val="24"/>
        </w:rPr>
      </w:pPr>
      <w:r>
        <w:rPr>
          <w:color w:val="2E74B5" w:themeColor="accent1" w:themeShade="BF"/>
          <w:sz w:val="24"/>
          <w:szCs w:val="24"/>
        </w:rPr>
        <w:t xml:space="preserve">Erfolg: </w:t>
      </w:r>
      <w:r>
        <w:rPr>
          <w:color w:val="2E74B5" w:themeColor="accent1" w:themeShade="BF"/>
          <w:sz w:val="24"/>
          <w:szCs w:val="24"/>
        </w:rPr>
        <w:tab/>
      </w:r>
      <w:r w:rsidR="00911621">
        <w:rPr>
          <w:color w:val="2E74B5" w:themeColor="accent1" w:themeShade="BF"/>
          <w:sz w:val="24"/>
          <w:szCs w:val="24"/>
        </w:rPr>
        <w:t>Oberbegriff für Gewinn oder Verlust</w:t>
      </w:r>
      <w:r w:rsidR="00E95310" w:rsidRPr="00027236">
        <w:rPr>
          <w:color w:val="2E74B5" w:themeColor="accent1" w:themeShade="BF"/>
          <w:sz w:val="24"/>
          <w:szCs w:val="24"/>
        </w:rPr>
        <w:t>.</w:t>
      </w:r>
      <w:r>
        <w:rPr>
          <w:color w:val="2E74B5" w:themeColor="accent1" w:themeShade="BF"/>
          <w:sz w:val="24"/>
          <w:szCs w:val="24"/>
        </w:rPr>
        <w:t xml:space="preserve"> Saldo der Erfolgsrechnung.</w:t>
      </w:r>
      <w:r w:rsidR="00E95310" w:rsidRPr="00027236">
        <w:rPr>
          <w:color w:val="2E74B5" w:themeColor="accent1" w:themeShade="BF"/>
          <w:sz w:val="24"/>
          <w:szCs w:val="24"/>
        </w:rPr>
        <w:t xml:space="preserve"> Er bezeichnet sowohl Gewinn als </w:t>
      </w:r>
      <w:r>
        <w:rPr>
          <w:color w:val="2E74B5" w:themeColor="accent1" w:themeShade="BF"/>
          <w:sz w:val="24"/>
          <w:szCs w:val="24"/>
        </w:rPr>
        <w:t xml:space="preserve">auch Verlust. </w:t>
      </w:r>
      <w:r w:rsidR="00911621">
        <w:rPr>
          <w:color w:val="2E74B5" w:themeColor="accent1" w:themeShade="BF"/>
          <w:sz w:val="24"/>
          <w:szCs w:val="24"/>
        </w:rPr>
        <w:t xml:space="preserve">Differenz zwischen Aufwand und Ertrag. </w:t>
      </w:r>
    </w:p>
    <w:p w:rsidR="005545E6" w:rsidRPr="00027236" w:rsidRDefault="00620AAD" w:rsidP="00BC2071">
      <w:pPr>
        <w:spacing w:after="0" w:line="240" w:lineRule="auto"/>
        <w:rPr>
          <w:color w:val="2E74B5" w:themeColor="accent1" w:themeShade="BF"/>
          <w:sz w:val="24"/>
          <w:szCs w:val="24"/>
        </w:rPr>
      </w:pPr>
      <w:r>
        <w:rPr>
          <w:color w:val="2E74B5" w:themeColor="accent1" w:themeShade="BF"/>
          <w:sz w:val="24"/>
          <w:szCs w:val="24"/>
        </w:rPr>
        <w:t>Gewinn:</w:t>
      </w:r>
      <w:r>
        <w:rPr>
          <w:color w:val="2E74B5" w:themeColor="accent1" w:themeShade="BF"/>
          <w:sz w:val="24"/>
          <w:szCs w:val="24"/>
        </w:rPr>
        <w:tab/>
      </w:r>
      <w:r w:rsidR="00BB7A1A">
        <w:rPr>
          <w:color w:val="2E74B5" w:themeColor="accent1" w:themeShade="BF"/>
          <w:sz w:val="24"/>
          <w:szCs w:val="24"/>
        </w:rPr>
        <w:t xml:space="preserve">Positiver Erfolg. Ertrag ist grösser als Aufwand. </w:t>
      </w:r>
      <w:r w:rsidR="005545E6">
        <w:rPr>
          <w:color w:val="2E74B5" w:themeColor="accent1" w:themeShade="BF"/>
          <w:sz w:val="24"/>
          <w:szCs w:val="24"/>
        </w:rPr>
        <w:t xml:space="preserve"> </w:t>
      </w:r>
    </w:p>
    <w:p w:rsidR="00142CBC" w:rsidRDefault="00620AAD" w:rsidP="00BC2071">
      <w:pPr>
        <w:spacing w:after="0" w:line="240" w:lineRule="auto"/>
        <w:rPr>
          <w:color w:val="2E74B5" w:themeColor="accent1" w:themeShade="BF"/>
          <w:sz w:val="24"/>
          <w:szCs w:val="24"/>
        </w:rPr>
      </w:pPr>
      <w:r>
        <w:rPr>
          <w:color w:val="2E74B5" w:themeColor="accent1" w:themeShade="BF"/>
          <w:sz w:val="24"/>
          <w:szCs w:val="24"/>
        </w:rPr>
        <w:t>Verlust:</w:t>
      </w:r>
      <w:r>
        <w:rPr>
          <w:color w:val="2E74B5" w:themeColor="accent1" w:themeShade="BF"/>
          <w:sz w:val="24"/>
          <w:szCs w:val="24"/>
        </w:rPr>
        <w:tab/>
      </w:r>
      <w:r w:rsidR="00BB7A1A">
        <w:rPr>
          <w:color w:val="2E74B5" w:themeColor="accent1" w:themeShade="BF"/>
          <w:sz w:val="24"/>
          <w:szCs w:val="24"/>
        </w:rPr>
        <w:t xml:space="preserve">Negativer Erfolg. Aufwand ist grösser als Ertrag. </w:t>
      </w:r>
    </w:p>
    <w:p w:rsidR="00BB7A1A" w:rsidRDefault="00BB7A1A" w:rsidP="00BC2071">
      <w:pPr>
        <w:spacing w:after="0" w:line="240" w:lineRule="auto"/>
        <w:rPr>
          <w:color w:val="2E74B5" w:themeColor="accent1" w:themeShade="BF"/>
          <w:sz w:val="24"/>
          <w:szCs w:val="24"/>
        </w:rPr>
      </w:pPr>
    </w:p>
    <w:p w:rsidR="00BB7A1A" w:rsidRDefault="00BB7A1A" w:rsidP="00BC2071">
      <w:pPr>
        <w:spacing w:after="0" w:line="240" w:lineRule="auto"/>
        <w:rPr>
          <w:color w:val="2E74B5" w:themeColor="accent1" w:themeShade="BF"/>
          <w:sz w:val="24"/>
          <w:szCs w:val="24"/>
        </w:rPr>
      </w:pPr>
      <w:r w:rsidRPr="00027236">
        <w:rPr>
          <w:color w:val="2E74B5" w:themeColor="accent1" w:themeShade="BF"/>
          <w:sz w:val="24"/>
          <w:szCs w:val="24"/>
        </w:rPr>
        <w:t>Wirtschaftlichkeit= Ertrag/Aufwand, ist das Ergebnis</w:t>
      </w:r>
      <w:r w:rsidRPr="00027236">
        <w:rPr>
          <w:color w:val="2E74B5" w:themeColor="accent1" w:themeShade="BF"/>
          <w:sz w:val="24"/>
          <w:szCs w:val="24"/>
        </w:rPr>
        <w:br/>
        <w:t>grösser als 1 → erzielt das U. einen Wertezuwachs</w:t>
      </w:r>
      <w:r w:rsidRPr="00027236">
        <w:rPr>
          <w:color w:val="2E74B5" w:themeColor="accent1" w:themeShade="BF"/>
          <w:sz w:val="24"/>
          <w:szCs w:val="24"/>
        </w:rPr>
        <w:br/>
        <w:t>gleich 1 → das U. arbeitet kostendeckend</w:t>
      </w:r>
      <w:r w:rsidRPr="00027236">
        <w:rPr>
          <w:color w:val="2E74B5" w:themeColor="accent1" w:themeShade="BF"/>
          <w:sz w:val="24"/>
          <w:szCs w:val="24"/>
        </w:rPr>
        <w:br/>
        <w:t>kleiner als 1 → das U. ist in der Verlustzone</w:t>
      </w:r>
      <w:r w:rsidRPr="00027236">
        <w:rPr>
          <w:color w:val="2E74B5" w:themeColor="accent1" w:themeShade="BF"/>
          <w:sz w:val="24"/>
          <w:szCs w:val="24"/>
        </w:rPr>
        <w:br/>
      </w:r>
    </w:p>
    <w:p w:rsidR="00806866" w:rsidRDefault="00806866" w:rsidP="00BC2071">
      <w:pPr>
        <w:spacing w:after="0" w:line="240" w:lineRule="auto"/>
        <w:rPr>
          <w:color w:val="2E74B5" w:themeColor="accent1" w:themeShade="BF"/>
          <w:sz w:val="24"/>
          <w:szCs w:val="24"/>
        </w:rPr>
      </w:pPr>
    </w:p>
    <w:p w:rsidR="00806866" w:rsidRDefault="003430E9" w:rsidP="00BC2071">
      <w:pPr>
        <w:spacing w:after="0" w:line="240" w:lineRule="auto"/>
        <w:rPr>
          <w:color w:val="2E74B5" w:themeColor="accent1" w:themeShade="BF"/>
          <w:sz w:val="24"/>
          <w:szCs w:val="24"/>
        </w:rPr>
      </w:pPr>
      <w:bookmarkStart w:id="0" w:name="_GoBack"/>
      <w:r>
        <w:rPr>
          <w:noProof/>
          <w:color w:val="2E74B5" w:themeColor="accent1" w:themeShade="BF"/>
          <w:sz w:val="24"/>
          <w:szCs w:val="24"/>
          <w:lang w:eastAsia="de-CH"/>
        </w:rPr>
        <w:lastRenderedPageBreak/>
        <w:drawing>
          <wp:inline distT="0" distB="0" distL="0" distR="0" wp14:anchorId="2D72F81D" wp14:editId="2EA54F19">
            <wp:extent cx="5486400" cy="3200400"/>
            <wp:effectExtent l="38100" t="0" r="19050" b="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bookmarkEnd w:id="0"/>
    </w:p>
    <w:p w:rsidR="00806866" w:rsidRPr="008A6E9E" w:rsidRDefault="00BB7A1A" w:rsidP="00BC2071">
      <w:pPr>
        <w:spacing w:after="0" w:line="240" w:lineRule="auto"/>
        <w:rPr>
          <w:color w:val="92D050"/>
          <w:sz w:val="24"/>
          <w:szCs w:val="24"/>
        </w:rPr>
      </w:pPr>
      <w:r w:rsidRPr="008A6E9E">
        <w:rPr>
          <w:color w:val="92D050"/>
          <w:sz w:val="24"/>
          <w:szCs w:val="24"/>
        </w:rPr>
        <w:t>Eigenkapital:</w:t>
      </w:r>
      <w:r w:rsidRPr="008A6E9E">
        <w:rPr>
          <w:color w:val="92D050"/>
          <w:sz w:val="24"/>
          <w:szCs w:val="24"/>
        </w:rPr>
        <w:tab/>
        <w:t xml:space="preserve">Unter Eigenkapital (Reinvermögen) versteht man die Eigentümeransprüche </w:t>
      </w:r>
    </w:p>
    <w:p w:rsidR="00BB7A1A" w:rsidRPr="008A6E9E" w:rsidRDefault="00BB7A1A" w:rsidP="00BC2071">
      <w:pPr>
        <w:spacing w:after="0" w:line="240" w:lineRule="auto"/>
        <w:rPr>
          <w:color w:val="92D050"/>
          <w:sz w:val="24"/>
          <w:szCs w:val="24"/>
        </w:rPr>
      </w:pPr>
      <w:r w:rsidRPr="008A6E9E">
        <w:rPr>
          <w:color w:val="92D050"/>
          <w:sz w:val="24"/>
          <w:szCs w:val="24"/>
        </w:rPr>
        <w:tab/>
      </w:r>
      <w:r w:rsidRPr="008A6E9E">
        <w:rPr>
          <w:color w:val="92D050"/>
          <w:sz w:val="24"/>
          <w:szCs w:val="24"/>
        </w:rPr>
        <w:tab/>
        <w:t>am Unternehmensvermögen. Es entspricht der Differenz zwischen den</w:t>
      </w:r>
    </w:p>
    <w:p w:rsidR="00BB7A1A" w:rsidRDefault="00BB7A1A" w:rsidP="00BC2071">
      <w:pPr>
        <w:spacing w:after="0" w:line="240" w:lineRule="auto"/>
        <w:rPr>
          <w:color w:val="92D050"/>
          <w:sz w:val="24"/>
          <w:szCs w:val="24"/>
        </w:rPr>
      </w:pPr>
      <w:r w:rsidRPr="008A6E9E">
        <w:rPr>
          <w:color w:val="92D050"/>
          <w:sz w:val="24"/>
          <w:szCs w:val="24"/>
        </w:rPr>
        <w:tab/>
      </w:r>
      <w:r w:rsidRPr="008A6E9E">
        <w:rPr>
          <w:color w:val="92D050"/>
          <w:sz w:val="24"/>
          <w:szCs w:val="24"/>
        </w:rPr>
        <w:tab/>
        <w:t xml:space="preserve">Aktiven (Vermögen) und dem Fremdkapital (Schulden). </w:t>
      </w:r>
    </w:p>
    <w:p w:rsidR="00664993" w:rsidRDefault="00664993" w:rsidP="00BC2071">
      <w:pPr>
        <w:spacing w:after="0" w:line="240" w:lineRule="auto"/>
        <w:rPr>
          <w:color w:val="92D050"/>
          <w:sz w:val="24"/>
          <w:szCs w:val="24"/>
        </w:rPr>
      </w:pPr>
    </w:p>
    <w:p w:rsidR="005545E6" w:rsidRDefault="005545E6" w:rsidP="00BC2071">
      <w:pPr>
        <w:spacing w:after="0" w:line="240" w:lineRule="auto"/>
        <w:rPr>
          <w:color w:val="92D050"/>
          <w:sz w:val="24"/>
          <w:szCs w:val="24"/>
        </w:rPr>
      </w:pPr>
    </w:p>
    <w:p w:rsidR="005545E6" w:rsidRDefault="005545E6" w:rsidP="00BC2071">
      <w:pPr>
        <w:spacing w:after="0" w:line="240" w:lineRule="auto"/>
        <w:rPr>
          <w:color w:val="92D050"/>
          <w:sz w:val="24"/>
          <w:szCs w:val="24"/>
        </w:rPr>
      </w:pPr>
    </w:p>
    <w:p w:rsidR="005545E6" w:rsidRDefault="005545E6" w:rsidP="00BC2071">
      <w:pPr>
        <w:spacing w:after="0" w:line="240" w:lineRule="auto"/>
        <w:rPr>
          <w:color w:val="92D050"/>
          <w:sz w:val="24"/>
          <w:szCs w:val="24"/>
        </w:rPr>
      </w:pPr>
    </w:p>
    <w:p w:rsidR="005545E6" w:rsidRDefault="005545E6" w:rsidP="00BC2071">
      <w:pPr>
        <w:spacing w:after="0" w:line="240" w:lineRule="auto"/>
        <w:rPr>
          <w:color w:val="92D050"/>
          <w:sz w:val="24"/>
          <w:szCs w:val="24"/>
        </w:rPr>
      </w:pPr>
    </w:p>
    <w:p w:rsidR="005545E6" w:rsidRPr="008A6E9E" w:rsidRDefault="005545E6" w:rsidP="00BC2071">
      <w:pPr>
        <w:spacing w:after="0" w:line="240" w:lineRule="auto"/>
        <w:rPr>
          <w:color w:val="92D050"/>
          <w:sz w:val="24"/>
          <w:szCs w:val="24"/>
        </w:rPr>
      </w:pPr>
    </w:p>
    <w:p w:rsidR="00BB7A1A" w:rsidRPr="00DB19B0" w:rsidRDefault="00DB19B0" w:rsidP="00BC2071">
      <w:pPr>
        <w:spacing w:after="0" w:line="240" w:lineRule="auto"/>
        <w:rPr>
          <w:b/>
          <w:sz w:val="28"/>
          <w:szCs w:val="28"/>
          <w:u w:val="single"/>
        </w:rPr>
      </w:pPr>
      <w:r w:rsidRPr="00DB19B0">
        <w:rPr>
          <w:b/>
          <w:sz w:val="28"/>
          <w:szCs w:val="28"/>
          <w:u w:val="single"/>
        </w:rPr>
        <w:t>Erfolgsziele eines Unternehmens</w:t>
      </w:r>
      <w:r>
        <w:rPr>
          <w:b/>
          <w:sz w:val="28"/>
          <w:szCs w:val="28"/>
          <w:u w:val="single"/>
        </w:rPr>
        <w:t xml:space="preserve"> (3 Kerngrössen) </w:t>
      </w:r>
    </w:p>
    <w:p w:rsidR="005545E6" w:rsidRDefault="005545E6" w:rsidP="00BC2071">
      <w:pPr>
        <w:spacing w:after="0" w:line="240" w:lineRule="auto"/>
        <w:rPr>
          <w:sz w:val="24"/>
          <w:szCs w:val="24"/>
          <w:u w:val="single"/>
        </w:rPr>
      </w:pPr>
    </w:p>
    <w:p w:rsidR="00347B44" w:rsidRPr="00347B44" w:rsidRDefault="00347B44" w:rsidP="00BC2071">
      <w:pPr>
        <w:spacing w:after="0" w:line="240" w:lineRule="auto"/>
        <w:rPr>
          <w:sz w:val="24"/>
          <w:szCs w:val="24"/>
        </w:rPr>
      </w:pPr>
      <w:r w:rsidRPr="00347B44">
        <w:rPr>
          <w:sz w:val="24"/>
          <w:szCs w:val="24"/>
        </w:rPr>
        <w:t xml:space="preserve">Gemäss dem ökonomischen Prinzip sollen die dem Unternehmen zur Verfügung stehenden Ressourcen optimal eingesetzt werden. Ob dies der Fall ist, kann anhand der Produktivität und der Wirtschaftlichkeit eines Unternehmens gemessen werden. </w:t>
      </w:r>
    </w:p>
    <w:p w:rsidR="00347B44" w:rsidRDefault="00347B44" w:rsidP="00BC2071">
      <w:pPr>
        <w:spacing w:after="0" w:line="240" w:lineRule="auto"/>
        <w:rPr>
          <w:sz w:val="24"/>
          <w:szCs w:val="24"/>
          <w:u w:val="single"/>
        </w:rPr>
      </w:pPr>
    </w:p>
    <w:p w:rsidR="00347B44" w:rsidRPr="00CB34F5" w:rsidRDefault="00347B44" w:rsidP="00BC2071">
      <w:pPr>
        <w:spacing w:after="0" w:line="240" w:lineRule="auto"/>
        <w:rPr>
          <w:b/>
          <w:sz w:val="24"/>
          <w:szCs w:val="24"/>
          <w:u w:val="single"/>
        </w:rPr>
      </w:pPr>
      <w:r w:rsidRPr="00CB34F5">
        <w:rPr>
          <w:b/>
          <w:sz w:val="24"/>
          <w:szCs w:val="24"/>
          <w:u w:val="single"/>
        </w:rPr>
        <w:t xml:space="preserve">Produktivität: </w:t>
      </w:r>
    </w:p>
    <w:p w:rsidR="003648FB" w:rsidRPr="003648FB" w:rsidRDefault="003648FB" w:rsidP="00BC2071">
      <w:pPr>
        <w:spacing w:after="0" w:line="240" w:lineRule="auto"/>
        <w:rPr>
          <w:sz w:val="24"/>
          <w:szCs w:val="24"/>
        </w:rPr>
      </w:pPr>
      <w:r w:rsidRPr="003648FB">
        <w:rPr>
          <w:sz w:val="24"/>
          <w:szCs w:val="24"/>
        </w:rPr>
        <w:t xml:space="preserve">Die Produktivität miss die Effizienz der erbrachten Leistung. </w:t>
      </w:r>
    </w:p>
    <w:p w:rsidR="00347B44" w:rsidRPr="00347B44" w:rsidRDefault="00347B44" w:rsidP="00BC2071">
      <w:pPr>
        <w:spacing w:after="0" w:line="240" w:lineRule="auto"/>
        <w:rPr>
          <w:sz w:val="24"/>
          <w:szCs w:val="24"/>
        </w:rPr>
      </w:pPr>
      <w:r w:rsidRPr="00347B44">
        <w:rPr>
          <w:sz w:val="24"/>
          <w:szCs w:val="24"/>
        </w:rPr>
        <w:t xml:space="preserve">Produktivität = Verhältnis zwischen den produzierten Gütern (Output) und den dafür eingesetzten Produktionsfaktoren (Input) </w:t>
      </w:r>
    </w:p>
    <w:p w:rsidR="00347B44" w:rsidRDefault="00347B44" w:rsidP="00BC2071">
      <w:pPr>
        <w:spacing w:after="0" w:line="240" w:lineRule="auto"/>
        <w:rPr>
          <w:sz w:val="24"/>
          <w:szCs w:val="24"/>
        </w:rPr>
      </w:pPr>
    </w:p>
    <w:p w:rsidR="00347B44" w:rsidRPr="00CB34F5" w:rsidRDefault="00347B44" w:rsidP="00BC2071">
      <w:pPr>
        <w:spacing w:after="0" w:line="240" w:lineRule="auto"/>
        <w:rPr>
          <w:color w:val="1F4E79" w:themeColor="accent1" w:themeShade="80"/>
          <w:sz w:val="24"/>
          <w:szCs w:val="24"/>
        </w:rPr>
      </w:pPr>
      <w:r w:rsidRPr="00CB34F5">
        <w:rPr>
          <w:color w:val="1F4E79" w:themeColor="accent1" w:themeShade="80"/>
          <w:sz w:val="24"/>
          <w:szCs w:val="24"/>
        </w:rPr>
        <w:t xml:space="preserve">Produktivität = </w:t>
      </w:r>
      <w:r w:rsidR="003648FB" w:rsidRPr="00CB34F5">
        <w:rPr>
          <w:color w:val="1F4E79" w:themeColor="accent1" w:themeShade="80"/>
          <w:sz w:val="24"/>
          <w:szCs w:val="24"/>
        </w:rPr>
        <w:t xml:space="preserve">Menge des </w:t>
      </w:r>
      <w:r w:rsidRPr="00CB34F5">
        <w:rPr>
          <w:color w:val="1F4E79" w:themeColor="accent1" w:themeShade="80"/>
          <w:sz w:val="24"/>
          <w:szCs w:val="24"/>
        </w:rPr>
        <w:t>Output</w:t>
      </w:r>
      <w:r w:rsidR="003648FB" w:rsidRPr="00CB34F5">
        <w:rPr>
          <w:color w:val="1F4E79" w:themeColor="accent1" w:themeShade="80"/>
          <w:sz w:val="24"/>
          <w:szCs w:val="24"/>
        </w:rPr>
        <w:t>s</w:t>
      </w:r>
      <w:r w:rsidRPr="00CB34F5">
        <w:rPr>
          <w:color w:val="1F4E79" w:themeColor="accent1" w:themeShade="80"/>
          <w:sz w:val="24"/>
          <w:szCs w:val="24"/>
        </w:rPr>
        <w:t xml:space="preserve"> / </w:t>
      </w:r>
      <w:r w:rsidR="003648FB" w:rsidRPr="00CB34F5">
        <w:rPr>
          <w:color w:val="1F4E79" w:themeColor="accent1" w:themeShade="80"/>
          <w:sz w:val="24"/>
          <w:szCs w:val="24"/>
        </w:rPr>
        <w:t xml:space="preserve">Menge des </w:t>
      </w:r>
      <w:r w:rsidRPr="00CB34F5">
        <w:rPr>
          <w:color w:val="1F4E79" w:themeColor="accent1" w:themeShade="80"/>
          <w:sz w:val="24"/>
          <w:szCs w:val="24"/>
        </w:rPr>
        <w:t>Input</w:t>
      </w:r>
      <w:r w:rsidR="003648FB" w:rsidRPr="00CB34F5">
        <w:rPr>
          <w:color w:val="1F4E79" w:themeColor="accent1" w:themeShade="80"/>
          <w:sz w:val="24"/>
          <w:szCs w:val="24"/>
        </w:rPr>
        <w:t>s</w:t>
      </w:r>
      <w:r w:rsidRPr="00CB34F5">
        <w:rPr>
          <w:color w:val="1F4E79" w:themeColor="accent1" w:themeShade="80"/>
          <w:sz w:val="24"/>
          <w:szCs w:val="24"/>
        </w:rPr>
        <w:t xml:space="preserve"> </w:t>
      </w:r>
    </w:p>
    <w:p w:rsidR="00347B44" w:rsidRDefault="00347B44" w:rsidP="00BC2071">
      <w:pPr>
        <w:spacing w:after="0" w:line="240" w:lineRule="auto"/>
        <w:rPr>
          <w:sz w:val="24"/>
          <w:szCs w:val="24"/>
        </w:rPr>
      </w:pPr>
    </w:p>
    <w:p w:rsidR="00347B44" w:rsidRDefault="00347B44" w:rsidP="00BC2071">
      <w:pPr>
        <w:spacing w:after="0" w:line="240" w:lineRule="auto"/>
        <w:rPr>
          <w:sz w:val="24"/>
          <w:szCs w:val="24"/>
        </w:rPr>
      </w:pPr>
      <w:r>
        <w:rPr>
          <w:sz w:val="24"/>
          <w:szCs w:val="24"/>
        </w:rPr>
        <w:t xml:space="preserve">Beispiele: </w:t>
      </w:r>
    </w:p>
    <w:p w:rsidR="00347B44" w:rsidRDefault="00347B44" w:rsidP="00BC2071">
      <w:pPr>
        <w:spacing w:after="0" w:line="240" w:lineRule="auto"/>
        <w:rPr>
          <w:sz w:val="24"/>
          <w:szCs w:val="24"/>
        </w:rPr>
      </w:pPr>
      <w:r>
        <w:rPr>
          <w:sz w:val="24"/>
          <w:szCs w:val="24"/>
        </w:rPr>
        <w:t xml:space="preserve">Arbeitsproduktivität: </w:t>
      </w:r>
      <w:r>
        <w:rPr>
          <w:sz w:val="24"/>
          <w:szCs w:val="24"/>
        </w:rPr>
        <w:tab/>
      </w:r>
      <w:r>
        <w:rPr>
          <w:sz w:val="24"/>
          <w:szCs w:val="24"/>
        </w:rPr>
        <w:tab/>
        <w:t>Anzahl hergestellter Stühle / geleistete Arbeitsstunden</w:t>
      </w:r>
    </w:p>
    <w:p w:rsidR="00347B44" w:rsidRDefault="00347B44" w:rsidP="00BC2071">
      <w:pPr>
        <w:spacing w:after="0" w:line="240" w:lineRule="auto"/>
        <w:rPr>
          <w:sz w:val="24"/>
          <w:szCs w:val="24"/>
        </w:rPr>
      </w:pPr>
      <w:r>
        <w:rPr>
          <w:sz w:val="24"/>
          <w:szCs w:val="24"/>
        </w:rPr>
        <w:t xml:space="preserve">Maschinenproduktivität: </w:t>
      </w:r>
      <w:r>
        <w:rPr>
          <w:sz w:val="24"/>
          <w:szCs w:val="24"/>
        </w:rPr>
        <w:tab/>
        <w:t>Anzahl produzierter Stücke / geleistete Maschinenstunden</w:t>
      </w:r>
    </w:p>
    <w:p w:rsidR="00347B44" w:rsidRDefault="00347B44" w:rsidP="00BC2071">
      <w:pPr>
        <w:spacing w:after="0" w:line="240" w:lineRule="auto"/>
        <w:rPr>
          <w:sz w:val="24"/>
          <w:szCs w:val="24"/>
        </w:rPr>
      </w:pPr>
    </w:p>
    <w:p w:rsidR="00CB7DED" w:rsidRPr="00347B44" w:rsidRDefault="00CB7DED" w:rsidP="00BC2071">
      <w:pPr>
        <w:spacing w:after="0" w:line="240" w:lineRule="auto"/>
        <w:rPr>
          <w:sz w:val="24"/>
          <w:szCs w:val="24"/>
        </w:rPr>
      </w:pPr>
    </w:p>
    <w:p w:rsidR="00137A6F" w:rsidRPr="00CB34F5" w:rsidRDefault="00137A6F" w:rsidP="00137A6F">
      <w:pPr>
        <w:spacing w:after="0" w:line="240" w:lineRule="auto"/>
        <w:rPr>
          <w:b/>
          <w:sz w:val="24"/>
          <w:szCs w:val="24"/>
          <w:u w:val="single"/>
        </w:rPr>
      </w:pPr>
      <w:r w:rsidRPr="00CB34F5">
        <w:rPr>
          <w:b/>
          <w:sz w:val="24"/>
          <w:szCs w:val="24"/>
          <w:u w:val="single"/>
        </w:rPr>
        <w:t xml:space="preserve">Wirtschaftlichkeit:  </w:t>
      </w:r>
    </w:p>
    <w:p w:rsidR="00347B44" w:rsidRPr="00137A6F" w:rsidRDefault="00137A6F" w:rsidP="00BC2071">
      <w:pPr>
        <w:spacing w:after="0" w:line="240" w:lineRule="auto"/>
        <w:rPr>
          <w:sz w:val="24"/>
          <w:szCs w:val="24"/>
        </w:rPr>
      </w:pPr>
      <w:r w:rsidRPr="00137A6F">
        <w:rPr>
          <w:sz w:val="24"/>
          <w:szCs w:val="24"/>
        </w:rPr>
        <w:t xml:space="preserve">Damit die Effizienz (Wirtschaftlichkeit) eines Unternehmens aufgezeigt werden kann, müssen die vielen verschiedenen </w:t>
      </w:r>
      <w:proofErr w:type="spellStart"/>
      <w:r w:rsidRPr="00137A6F">
        <w:rPr>
          <w:sz w:val="24"/>
          <w:szCs w:val="24"/>
        </w:rPr>
        <w:t>Teilproduktivitäten</w:t>
      </w:r>
      <w:proofErr w:type="spellEnd"/>
      <w:r w:rsidRPr="00137A6F">
        <w:rPr>
          <w:sz w:val="24"/>
          <w:szCs w:val="24"/>
        </w:rPr>
        <w:t xml:space="preserve"> monetär bewertet werden. </w:t>
      </w:r>
      <w:r w:rsidR="00CB7DED">
        <w:rPr>
          <w:sz w:val="24"/>
          <w:szCs w:val="24"/>
        </w:rPr>
        <w:t xml:space="preserve">Die </w:t>
      </w:r>
      <w:r w:rsidR="00CB7DED">
        <w:rPr>
          <w:sz w:val="24"/>
          <w:szCs w:val="24"/>
        </w:rPr>
        <w:lastRenderedPageBreak/>
        <w:t xml:space="preserve">Wirtschaftlichkeit misst somit die Effektivität der erbrachten Leistung. Die Wirtschaftlichkeit setzt nicht Mengen, sondern den Wert von Input und Output in Geldeinheiten ins Verhältnis! </w:t>
      </w:r>
    </w:p>
    <w:p w:rsidR="00137A6F" w:rsidRDefault="00137A6F" w:rsidP="00BC2071">
      <w:pPr>
        <w:spacing w:after="0" w:line="240" w:lineRule="auto"/>
        <w:rPr>
          <w:sz w:val="24"/>
          <w:szCs w:val="24"/>
        </w:rPr>
      </w:pPr>
    </w:p>
    <w:p w:rsidR="00137A6F" w:rsidRPr="00CB34F5" w:rsidRDefault="00CB34F5" w:rsidP="00CB34F5">
      <w:pPr>
        <w:spacing w:after="0" w:line="240" w:lineRule="auto"/>
        <w:rPr>
          <w:color w:val="1F4E79" w:themeColor="accent1" w:themeShade="80"/>
          <w:sz w:val="24"/>
          <w:szCs w:val="24"/>
        </w:rPr>
      </w:pPr>
      <w:r w:rsidRPr="00CB34F5">
        <w:rPr>
          <w:color w:val="1F4E79" w:themeColor="accent1" w:themeShade="80"/>
          <w:sz w:val="24"/>
          <w:szCs w:val="24"/>
        </w:rPr>
        <w:t xml:space="preserve">Wirtschaftlichkeit = Wert des </w:t>
      </w:r>
      <w:r w:rsidR="00137A6F" w:rsidRPr="00CB34F5">
        <w:rPr>
          <w:color w:val="1F4E79" w:themeColor="accent1" w:themeShade="80"/>
          <w:sz w:val="24"/>
          <w:szCs w:val="24"/>
        </w:rPr>
        <w:t>Output</w:t>
      </w:r>
      <w:r w:rsidRPr="00CB34F5">
        <w:rPr>
          <w:color w:val="1F4E79" w:themeColor="accent1" w:themeShade="80"/>
          <w:sz w:val="24"/>
          <w:szCs w:val="24"/>
        </w:rPr>
        <w:t xml:space="preserve">s in Geldeinheiten / Wert des Inputs in Geldeinheiten </w:t>
      </w:r>
    </w:p>
    <w:p w:rsidR="00CB34F5" w:rsidRPr="00CB34F5" w:rsidRDefault="00CB34F5" w:rsidP="00CB34F5">
      <w:pPr>
        <w:spacing w:after="0" w:line="240" w:lineRule="auto"/>
        <w:rPr>
          <w:color w:val="1F4E79" w:themeColor="accent1" w:themeShade="80"/>
          <w:sz w:val="24"/>
          <w:szCs w:val="24"/>
        </w:rPr>
      </w:pPr>
      <w:r w:rsidRPr="00CB34F5">
        <w:rPr>
          <w:color w:val="1F4E79" w:themeColor="accent1" w:themeShade="80"/>
          <w:sz w:val="24"/>
          <w:szCs w:val="24"/>
        </w:rPr>
        <w:tab/>
      </w:r>
      <w:r w:rsidRPr="00CB34F5">
        <w:rPr>
          <w:color w:val="1F4E79" w:themeColor="accent1" w:themeShade="80"/>
          <w:sz w:val="24"/>
          <w:szCs w:val="24"/>
        </w:rPr>
        <w:tab/>
        <w:t xml:space="preserve">       = Ertrag / Aufwand</w:t>
      </w:r>
    </w:p>
    <w:p w:rsidR="00567DDC" w:rsidRDefault="00567DDC" w:rsidP="00BC2071">
      <w:pPr>
        <w:spacing w:after="0" w:line="240" w:lineRule="auto"/>
        <w:rPr>
          <w:sz w:val="24"/>
          <w:szCs w:val="24"/>
        </w:rPr>
      </w:pPr>
    </w:p>
    <w:p w:rsidR="00567DDC" w:rsidRDefault="00567DDC" w:rsidP="00BC2071">
      <w:pPr>
        <w:spacing w:after="0" w:line="240" w:lineRule="auto"/>
        <w:rPr>
          <w:sz w:val="24"/>
          <w:szCs w:val="24"/>
        </w:rPr>
      </w:pPr>
      <w:r>
        <w:rPr>
          <w:sz w:val="24"/>
          <w:szCs w:val="24"/>
        </w:rPr>
        <w:t xml:space="preserve">&gt; </w:t>
      </w:r>
      <w:r w:rsidRPr="00567DDC">
        <w:rPr>
          <w:sz w:val="24"/>
          <w:szCs w:val="24"/>
        </w:rPr>
        <w:t xml:space="preserve">1 → erzielt </w:t>
      </w:r>
      <w:r>
        <w:rPr>
          <w:sz w:val="24"/>
          <w:szCs w:val="24"/>
        </w:rPr>
        <w:t>das U. einen Wertezuwachs</w:t>
      </w:r>
      <w:r>
        <w:rPr>
          <w:sz w:val="24"/>
          <w:szCs w:val="24"/>
        </w:rPr>
        <w:br/>
        <w:t>=</w:t>
      </w:r>
      <w:r w:rsidRPr="00567DDC">
        <w:rPr>
          <w:sz w:val="24"/>
          <w:szCs w:val="24"/>
        </w:rPr>
        <w:t xml:space="preserve"> 1 → das U</w:t>
      </w:r>
      <w:r>
        <w:rPr>
          <w:sz w:val="24"/>
          <w:szCs w:val="24"/>
        </w:rPr>
        <w:t>. arbeitet kostendeckend</w:t>
      </w:r>
      <w:r>
        <w:rPr>
          <w:sz w:val="24"/>
          <w:szCs w:val="24"/>
        </w:rPr>
        <w:br/>
        <w:t>&lt;</w:t>
      </w:r>
      <w:r w:rsidRPr="00567DDC">
        <w:rPr>
          <w:sz w:val="24"/>
          <w:szCs w:val="24"/>
        </w:rPr>
        <w:t xml:space="preserve"> 1 → das U. ist in der Verlustzone</w:t>
      </w:r>
      <w:r w:rsidRPr="00027236">
        <w:rPr>
          <w:color w:val="2E74B5" w:themeColor="accent1" w:themeShade="BF"/>
          <w:sz w:val="24"/>
          <w:szCs w:val="24"/>
        </w:rPr>
        <w:br/>
      </w:r>
    </w:p>
    <w:p w:rsidR="00CB34F5" w:rsidRDefault="00CB34F5" w:rsidP="00BC2071">
      <w:pPr>
        <w:spacing w:after="0" w:line="240" w:lineRule="auto"/>
        <w:rPr>
          <w:sz w:val="24"/>
          <w:szCs w:val="24"/>
        </w:rPr>
      </w:pPr>
      <w:r>
        <w:rPr>
          <w:sz w:val="24"/>
          <w:szCs w:val="24"/>
        </w:rPr>
        <w:t xml:space="preserve">MERKE: </w:t>
      </w:r>
    </w:p>
    <w:p w:rsidR="00CB34F5" w:rsidRDefault="00CB34F5" w:rsidP="00BC2071">
      <w:pPr>
        <w:spacing w:after="0" w:line="240" w:lineRule="auto"/>
        <w:rPr>
          <w:sz w:val="24"/>
          <w:szCs w:val="24"/>
        </w:rPr>
      </w:pPr>
      <w:r>
        <w:rPr>
          <w:sz w:val="24"/>
          <w:szCs w:val="24"/>
        </w:rPr>
        <w:t xml:space="preserve">Die Wirtschaftlichkeit folgt nicht automatisch aus der Produktivität! </w:t>
      </w:r>
    </w:p>
    <w:p w:rsidR="00CB34F5" w:rsidRDefault="00CB34F5" w:rsidP="00BC2071">
      <w:pPr>
        <w:spacing w:after="0" w:line="240" w:lineRule="auto"/>
        <w:rPr>
          <w:sz w:val="24"/>
          <w:szCs w:val="24"/>
        </w:rPr>
      </w:pPr>
      <w:r>
        <w:rPr>
          <w:sz w:val="24"/>
          <w:szCs w:val="24"/>
        </w:rPr>
        <w:t xml:space="preserve">Ein Unternehmen kann produktiv und trotzdem unwirtschaftlich sein, z.B. wenn die Preise seiner Güter (Output) fallen, diejenigen des Inputs jedoch nicht. </w:t>
      </w:r>
    </w:p>
    <w:p w:rsidR="001074DC" w:rsidRDefault="001074DC" w:rsidP="00BC2071">
      <w:pPr>
        <w:spacing w:after="0" w:line="240" w:lineRule="auto"/>
        <w:rPr>
          <w:sz w:val="24"/>
          <w:szCs w:val="24"/>
        </w:rPr>
      </w:pPr>
      <w:r>
        <w:rPr>
          <w:rFonts w:cstheme="minorHAnsi"/>
          <w:sz w:val="24"/>
          <w:szCs w:val="24"/>
        </w:rPr>
        <w:t>→</w:t>
      </w:r>
      <w:r>
        <w:rPr>
          <w:sz w:val="24"/>
          <w:szCs w:val="24"/>
        </w:rPr>
        <w:t xml:space="preserve"> die Wirtschaftlichkeit hat für ein Unternehmen höhere Priorität als die Produktivität!! </w:t>
      </w:r>
    </w:p>
    <w:p w:rsidR="001074DC" w:rsidRDefault="001074DC" w:rsidP="00BC2071">
      <w:pPr>
        <w:spacing w:after="0" w:line="240" w:lineRule="auto"/>
        <w:rPr>
          <w:sz w:val="24"/>
          <w:szCs w:val="24"/>
        </w:rPr>
      </w:pPr>
    </w:p>
    <w:p w:rsidR="00137A6F" w:rsidRPr="00137A6F" w:rsidRDefault="00137A6F" w:rsidP="00BC2071">
      <w:pPr>
        <w:spacing w:after="0" w:line="240" w:lineRule="auto"/>
        <w:rPr>
          <w:sz w:val="24"/>
          <w:szCs w:val="24"/>
        </w:rPr>
      </w:pPr>
    </w:p>
    <w:p w:rsidR="00137A6F" w:rsidRPr="00CB34F5" w:rsidRDefault="00137A6F" w:rsidP="00137A6F">
      <w:pPr>
        <w:spacing w:after="0" w:line="240" w:lineRule="auto"/>
        <w:rPr>
          <w:b/>
          <w:sz w:val="24"/>
          <w:szCs w:val="24"/>
          <w:u w:val="single"/>
        </w:rPr>
      </w:pPr>
      <w:r w:rsidRPr="00CB34F5">
        <w:rPr>
          <w:b/>
          <w:sz w:val="24"/>
          <w:szCs w:val="24"/>
          <w:u w:val="single"/>
        </w:rPr>
        <w:t xml:space="preserve">Rentabilität:  </w:t>
      </w:r>
    </w:p>
    <w:p w:rsidR="00137A6F" w:rsidRDefault="00137A6F" w:rsidP="00BC2071">
      <w:pPr>
        <w:spacing w:after="0" w:line="240" w:lineRule="auto"/>
        <w:rPr>
          <w:sz w:val="24"/>
          <w:szCs w:val="24"/>
        </w:rPr>
      </w:pPr>
      <w:r>
        <w:rPr>
          <w:sz w:val="24"/>
          <w:szCs w:val="24"/>
        </w:rPr>
        <w:t xml:space="preserve">Damit ein Unternehmen langfristig bestehen kann, muss als Kernziel eine nachhaltige und marktgerechte Rentabilität auf dem eingesetzten Kapital erzielt werden. Kann dieses Kernziel nicht erreicht werden, besteht die Gefahr, dass die Kapitalgeber das in das Unternehmen investierte Kapital abziehen und in Objekte mit höheren Renditeerwartungen anlegen. </w:t>
      </w:r>
    </w:p>
    <w:p w:rsidR="00D95E93" w:rsidRDefault="00D95E93" w:rsidP="00BC2071">
      <w:pPr>
        <w:spacing w:after="0" w:line="240" w:lineRule="auto"/>
        <w:rPr>
          <w:sz w:val="24"/>
          <w:szCs w:val="24"/>
        </w:rPr>
      </w:pPr>
    </w:p>
    <w:p w:rsidR="00D95E93" w:rsidRDefault="00D95E93" w:rsidP="00BC2071">
      <w:pPr>
        <w:spacing w:after="0" w:line="240" w:lineRule="auto"/>
        <w:rPr>
          <w:sz w:val="24"/>
          <w:szCs w:val="24"/>
        </w:rPr>
      </w:pPr>
      <w:r w:rsidRPr="007012C2">
        <w:rPr>
          <w:color w:val="1F4E79" w:themeColor="accent1" w:themeShade="80"/>
          <w:sz w:val="24"/>
          <w:szCs w:val="24"/>
        </w:rPr>
        <w:t xml:space="preserve">Rentabilität in % = </w:t>
      </w:r>
      <w:r w:rsidRPr="007012C2">
        <w:rPr>
          <w:color w:val="1F4E79" w:themeColor="accent1" w:themeShade="80"/>
          <w:sz w:val="24"/>
          <w:szCs w:val="24"/>
        </w:rPr>
        <w:tab/>
      </w:r>
      <w:r w:rsidRPr="007012C2">
        <w:rPr>
          <w:color w:val="1F4E79" w:themeColor="accent1" w:themeShade="80"/>
          <w:sz w:val="24"/>
          <w:szCs w:val="24"/>
        </w:rPr>
        <w:tab/>
        <w:t>Gewinn / eingesetztes Kapital x 100</w:t>
      </w:r>
      <w:r>
        <w:rPr>
          <w:sz w:val="24"/>
          <w:szCs w:val="24"/>
        </w:rPr>
        <w:tab/>
      </w:r>
    </w:p>
    <w:p w:rsidR="00137A6F" w:rsidRDefault="00137A6F" w:rsidP="00BC2071">
      <w:pPr>
        <w:spacing w:after="0" w:line="240" w:lineRule="auto"/>
        <w:rPr>
          <w:sz w:val="24"/>
          <w:szCs w:val="24"/>
        </w:rPr>
      </w:pPr>
    </w:p>
    <w:p w:rsidR="00137A6F" w:rsidRPr="00137A6F" w:rsidRDefault="00137A6F" w:rsidP="00BC2071">
      <w:pPr>
        <w:spacing w:after="0" w:line="240" w:lineRule="auto"/>
        <w:rPr>
          <w:sz w:val="24"/>
          <w:szCs w:val="24"/>
        </w:rPr>
      </w:pPr>
    </w:p>
    <w:p w:rsidR="00142CBC" w:rsidRPr="007012C2" w:rsidRDefault="00142CBC" w:rsidP="00BC2071">
      <w:pPr>
        <w:spacing w:after="0" w:line="240" w:lineRule="auto"/>
        <w:rPr>
          <w:color w:val="1F4E79" w:themeColor="accent1" w:themeShade="80"/>
          <w:sz w:val="24"/>
          <w:szCs w:val="24"/>
        </w:rPr>
      </w:pPr>
      <w:r w:rsidRPr="007012C2">
        <w:rPr>
          <w:color w:val="1F4E79" w:themeColor="accent1" w:themeShade="80"/>
          <w:sz w:val="24"/>
          <w:szCs w:val="24"/>
        </w:rPr>
        <w:t>Eigenkapitalrentabilität</w:t>
      </w:r>
      <w:r w:rsidR="00F12933" w:rsidRPr="007012C2">
        <w:rPr>
          <w:color w:val="1F4E79" w:themeColor="accent1" w:themeShade="80"/>
          <w:sz w:val="24"/>
          <w:szCs w:val="24"/>
        </w:rPr>
        <w:t xml:space="preserve"> </w:t>
      </w:r>
      <w:r w:rsidRPr="007012C2">
        <w:rPr>
          <w:color w:val="1F4E79" w:themeColor="accent1" w:themeShade="80"/>
          <w:sz w:val="24"/>
          <w:szCs w:val="24"/>
        </w:rPr>
        <w:t>=</w:t>
      </w:r>
      <w:r w:rsidR="00E95310" w:rsidRPr="007012C2">
        <w:rPr>
          <w:color w:val="1F4E79" w:themeColor="accent1" w:themeShade="80"/>
          <w:sz w:val="24"/>
          <w:szCs w:val="24"/>
        </w:rPr>
        <w:t xml:space="preserve"> </w:t>
      </w:r>
      <w:r w:rsidR="00E23674" w:rsidRPr="007012C2">
        <w:rPr>
          <w:color w:val="1F4E79" w:themeColor="accent1" w:themeShade="80"/>
          <w:sz w:val="24"/>
          <w:szCs w:val="24"/>
        </w:rPr>
        <w:tab/>
      </w:r>
      <w:r w:rsidR="00CE58D9" w:rsidRPr="007012C2">
        <w:rPr>
          <w:color w:val="1F4E79" w:themeColor="accent1" w:themeShade="80"/>
          <w:sz w:val="24"/>
          <w:szCs w:val="24"/>
        </w:rPr>
        <w:t>(</w:t>
      </w:r>
      <w:r w:rsidR="003A168E" w:rsidRPr="007012C2">
        <w:rPr>
          <w:color w:val="1F4E79" w:themeColor="accent1" w:themeShade="80"/>
          <w:sz w:val="24"/>
          <w:szCs w:val="24"/>
        </w:rPr>
        <w:t>G</w:t>
      </w:r>
      <w:r w:rsidR="00935951" w:rsidRPr="007012C2">
        <w:rPr>
          <w:color w:val="1F4E79" w:themeColor="accent1" w:themeShade="80"/>
          <w:sz w:val="24"/>
          <w:szCs w:val="24"/>
        </w:rPr>
        <w:t>ewinn</w:t>
      </w:r>
      <w:r w:rsidR="00CE58D9" w:rsidRPr="007012C2">
        <w:rPr>
          <w:color w:val="1F4E79" w:themeColor="accent1" w:themeShade="80"/>
          <w:sz w:val="24"/>
          <w:szCs w:val="24"/>
        </w:rPr>
        <w:t xml:space="preserve">*100) </w:t>
      </w:r>
      <w:r w:rsidR="00935951" w:rsidRPr="007012C2">
        <w:rPr>
          <w:color w:val="1F4E79" w:themeColor="accent1" w:themeShade="80"/>
          <w:sz w:val="24"/>
          <w:szCs w:val="24"/>
        </w:rPr>
        <w:t>/</w:t>
      </w:r>
      <w:r w:rsidR="00CE58D9" w:rsidRPr="007012C2">
        <w:rPr>
          <w:color w:val="1F4E79" w:themeColor="accent1" w:themeShade="80"/>
          <w:sz w:val="24"/>
          <w:szCs w:val="24"/>
        </w:rPr>
        <w:t xml:space="preserve"> Eigenkapital</w:t>
      </w:r>
    </w:p>
    <w:p w:rsidR="00E23674" w:rsidRDefault="00E23674" w:rsidP="00E23674">
      <w:pPr>
        <w:spacing w:after="0" w:line="240" w:lineRule="auto"/>
        <w:ind w:left="2832"/>
      </w:pPr>
      <w:r w:rsidRPr="00664993">
        <w:t xml:space="preserve">Kennzahl, welche die Rentabilität des </w:t>
      </w:r>
      <w:hyperlink r:id="rId21" w:tooltip="Eigenkapital" w:history="1">
        <w:r w:rsidRPr="00664993">
          <w:rPr>
            <w:rStyle w:val="Hyperlink"/>
            <w:color w:val="auto"/>
            <w:u w:val="none"/>
          </w:rPr>
          <w:t>Eigenkapitals</w:t>
        </w:r>
      </w:hyperlink>
      <w:r w:rsidRPr="00664993">
        <w:t xml:space="preserve"> misst und angibt, wie effizient ein Unternehmen das zur Verfügung stehende </w:t>
      </w:r>
      <w:hyperlink r:id="rId22" w:tooltip="Eigenkapital" w:history="1">
        <w:r w:rsidRPr="00664993">
          <w:rPr>
            <w:rStyle w:val="Hyperlink"/>
            <w:color w:val="auto"/>
            <w:u w:val="none"/>
          </w:rPr>
          <w:t>Eigenkapital</w:t>
        </w:r>
      </w:hyperlink>
      <w:r w:rsidRPr="00664993">
        <w:t xml:space="preserve"> gemessen am </w:t>
      </w:r>
      <w:hyperlink r:id="rId23" w:tooltip="Reingewinn" w:history="1">
        <w:r w:rsidR="00246927">
          <w:rPr>
            <w:rStyle w:val="Hyperlink"/>
            <w:color w:val="auto"/>
            <w:u w:val="none"/>
          </w:rPr>
          <w:t>G</w:t>
        </w:r>
        <w:r w:rsidRPr="00664993">
          <w:rPr>
            <w:rStyle w:val="Hyperlink"/>
            <w:color w:val="auto"/>
            <w:u w:val="none"/>
          </w:rPr>
          <w:t>ewinn</w:t>
        </w:r>
      </w:hyperlink>
      <w:r w:rsidRPr="00664993">
        <w:t xml:space="preserve"> eingesetzt hat.</w:t>
      </w:r>
    </w:p>
    <w:p w:rsidR="00664993" w:rsidRDefault="00664993" w:rsidP="00E23674">
      <w:pPr>
        <w:spacing w:after="0" w:line="240" w:lineRule="auto"/>
        <w:ind w:left="2832"/>
      </w:pPr>
      <w:r>
        <w:t xml:space="preserve">(ROE = Return on Equity) </w:t>
      </w:r>
    </w:p>
    <w:p w:rsidR="005545E6" w:rsidRDefault="00246927" w:rsidP="00E23674">
      <w:pPr>
        <w:spacing w:after="0" w:line="240" w:lineRule="auto"/>
        <w:ind w:left="2832"/>
        <w:rPr>
          <w:sz w:val="24"/>
          <w:szCs w:val="24"/>
        </w:rPr>
      </w:pPr>
      <w:r>
        <w:rPr>
          <w:sz w:val="24"/>
          <w:szCs w:val="24"/>
        </w:rPr>
        <w:t>(G</w:t>
      </w:r>
      <w:r w:rsidR="005545E6" w:rsidRPr="005545E6">
        <w:rPr>
          <w:sz w:val="24"/>
          <w:szCs w:val="24"/>
        </w:rPr>
        <w:t>ewinn = Differenz zwischen Erträgen und Aufwendungen)</w:t>
      </w:r>
    </w:p>
    <w:p w:rsidR="00D95E93" w:rsidRPr="005545E6" w:rsidRDefault="00D95E93" w:rsidP="00D95E93">
      <w:pPr>
        <w:spacing w:after="0" w:line="240" w:lineRule="auto"/>
        <w:rPr>
          <w:sz w:val="24"/>
          <w:szCs w:val="24"/>
        </w:rPr>
      </w:pPr>
    </w:p>
    <w:p w:rsidR="00142CBC" w:rsidRPr="00664993" w:rsidRDefault="00142CBC" w:rsidP="00BC2071">
      <w:pPr>
        <w:spacing w:after="0" w:line="240" w:lineRule="auto"/>
        <w:rPr>
          <w:sz w:val="24"/>
          <w:szCs w:val="24"/>
        </w:rPr>
      </w:pPr>
    </w:p>
    <w:sectPr w:rsidR="00142CBC" w:rsidRPr="00664993">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99F" w:rsidRDefault="00B6799F">
      <w:pPr>
        <w:spacing w:after="0" w:line="240" w:lineRule="auto"/>
      </w:pPr>
      <w:r>
        <w:separator/>
      </w:r>
    </w:p>
  </w:endnote>
  <w:endnote w:type="continuationSeparator" w:id="0">
    <w:p w:rsidR="00B6799F" w:rsidRDefault="00B67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864" w:rsidRPr="003F10F7" w:rsidRDefault="00806866" w:rsidP="00D60864">
    <w:pPr>
      <w:pStyle w:val="Fuzeile"/>
      <w:pBdr>
        <w:top w:val="single" w:sz="4" w:space="1" w:color="auto"/>
      </w:pBdr>
      <w:rPr>
        <w:sz w:val="18"/>
      </w:rPr>
    </w:pPr>
    <w:r>
      <w:rPr>
        <w:sz w:val="18"/>
      </w:rPr>
      <w:t>S. Amstutz</w:t>
    </w:r>
    <w:r w:rsidR="004C04CD">
      <w:rPr>
        <w:sz w:val="18"/>
      </w:rPr>
      <w:tab/>
    </w:r>
    <w:r>
      <w:rPr>
        <w:sz w:val="18"/>
      </w:rPr>
      <w:t xml:space="preserve">September 2017 </w:t>
    </w:r>
    <w:r w:rsidR="004C04CD" w:rsidRPr="003F10F7">
      <w:rPr>
        <w:sz w:val="18"/>
      </w:rPr>
      <w:tab/>
    </w:r>
    <w:r w:rsidR="004C04CD" w:rsidRPr="003F10F7">
      <w:rPr>
        <w:sz w:val="18"/>
      </w:rPr>
      <w:fldChar w:fldCharType="begin"/>
    </w:r>
    <w:r w:rsidR="004C04CD" w:rsidRPr="003F10F7">
      <w:rPr>
        <w:sz w:val="18"/>
      </w:rPr>
      <w:instrText xml:space="preserve"> PAGE   \* MERGEFORMAT </w:instrText>
    </w:r>
    <w:r w:rsidR="004C04CD" w:rsidRPr="003F10F7">
      <w:rPr>
        <w:sz w:val="18"/>
      </w:rPr>
      <w:fldChar w:fldCharType="separate"/>
    </w:r>
    <w:r w:rsidR="004273F5">
      <w:rPr>
        <w:noProof/>
        <w:sz w:val="18"/>
      </w:rPr>
      <w:t>5</w:t>
    </w:r>
    <w:r w:rsidR="004C04CD" w:rsidRPr="003F10F7">
      <w:rPr>
        <w:sz w:val="18"/>
      </w:rPr>
      <w:fldChar w:fldCharType="end"/>
    </w:r>
    <w:r w:rsidR="004C04CD" w:rsidRPr="003F10F7">
      <w:rPr>
        <w:sz w:val="18"/>
      </w:rPr>
      <w:t>/</w:t>
    </w:r>
    <w:r w:rsidR="00B6799F">
      <w:fldChar w:fldCharType="begin"/>
    </w:r>
    <w:r w:rsidR="00B6799F">
      <w:instrText xml:space="preserve"> NUMPAGES   \* MERGEFORMAT </w:instrText>
    </w:r>
    <w:r w:rsidR="00B6799F">
      <w:fldChar w:fldCharType="separate"/>
    </w:r>
    <w:r w:rsidR="004273F5" w:rsidRPr="004273F5">
      <w:rPr>
        <w:noProof/>
        <w:sz w:val="18"/>
      </w:rPr>
      <w:t>5</w:t>
    </w:r>
    <w:r w:rsidR="00B6799F">
      <w:rPr>
        <w:noProof/>
        <w:sz w:val="18"/>
      </w:rPr>
      <w:fldChar w:fldCharType="end"/>
    </w:r>
  </w:p>
  <w:p w:rsidR="00D60864" w:rsidRDefault="00B679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99F" w:rsidRDefault="00B6799F">
      <w:pPr>
        <w:spacing w:after="0" w:line="240" w:lineRule="auto"/>
      </w:pPr>
      <w:r>
        <w:separator/>
      </w:r>
    </w:p>
  </w:footnote>
  <w:footnote w:type="continuationSeparator" w:id="0">
    <w:p w:rsidR="00B6799F" w:rsidRDefault="00B67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864" w:rsidRDefault="001F7409" w:rsidP="00D60864">
    <w:pPr>
      <w:pStyle w:val="Kopfzeile"/>
    </w:pPr>
    <w:r>
      <w:t>BB B</w:t>
    </w:r>
    <w:r w:rsidR="004C04CD">
      <w:t>aden</w:t>
    </w:r>
    <w:r w:rsidR="004C04CD">
      <w:tab/>
      <w:t>VBR</w:t>
    </w:r>
    <w:r w:rsidR="004C04CD">
      <w:tab/>
      <w:t xml:space="preserve">BM </w:t>
    </w:r>
  </w:p>
  <w:p w:rsidR="00D60864" w:rsidRDefault="00B6799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020CE"/>
    <w:multiLevelType w:val="hybridMultilevel"/>
    <w:tmpl w:val="F38A9EF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319F61B6"/>
    <w:multiLevelType w:val="hybridMultilevel"/>
    <w:tmpl w:val="B0E8249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3BD6457E"/>
    <w:multiLevelType w:val="hybridMultilevel"/>
    <w:tmpl w:val="E8A6E5C6"/>
    <w:lvl w:ilvl="0" w:tplc="9224ECBE">
      <w:start w:val="1"/>
      <w:numFmt w:val="decimal"/>
      <w:lvlText w:val="%1."/>
      <w:lvlJc w:val="left"/>
      <w:pPr>
        <w:ind w:left="360" w:hanging="360"/>
      </w:pPr>
      <w:rPr>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7C4A63F8"/>
    <w:multiLevelType w:val="hybridMultilevel"/>
    <w:tmpl w:val="E00256F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BC"/>
    <w:rsid w:val="00003291"/>
    <w:rsid w:val="00027236"/>
    <w:rsid w:val="00046A57"/>
    <w:rsid w:val="00067562"/>
    <w:rsid w:val="000B3D99"/>
    <w:rsid w:val="000C7D94"/>
    <w:rsid w:val="000F21B9"/>
    <w:rsid w:val="001074DC"/>
    <w:rsid w:val="00125D09"/>
    <w:rsid w:val="00131350"/>
    <w:rsid w:val="00137A6F"/>
    <w:rsid w:val="00142CBC"/>
    <w:rsid w:val="00190EFB"/>
    <w:rsid w:val="001B0633"/>
    <w:rsid w:val="001B452D"/>
    <w:rsid w:val="001F7409"/>
    <w:rsid w:val="00217125"/>
    <w:rsid w:val="00217990"/>
    <w:rsid w:val="00217BD3"/>
    <w:rsid w:val="00241FFE"/>
    <w:rsid w:val="00246927"/>
    <w:rsid w:val="00281BD3"/>
    <w:rsid w:val="002C2D65"/>
    <w:rsid w:val="002D630C"/>
    <w:rsid w:val="003430E9"/>
    <w:rsid w:val="00347B44"/>
    <w:rsid w:val="003520F3"/>
    <w:rsid w:val="003648FB"/>
    <w:rsid w:val="0037751E"/>
    <w:rsid w:val="003A168E"/>
    <w:rsid w:val="003B0AE6"/>
    <w:rsid w:val="003B12D1"/>
    <w:rsid w:val="003B2305"/>
    <w:rsid w:val="004273F5"/>
    <w:rsid w:val="0045140A"/>
    <w:rsid w:val="004C04CD"/>
    <w:rsid w:val="00535548"/>
    <w:rsid w:val="005545E6"/>
    <w:rsid w:val="00567DDC"/>
    <w:rsid w:val="005E0254"/>
    <w:rsid w:val="00602B32"/>
    <w:rsid w:val="00620AAD"/>
    <w:rsid w:val="006240E6"/>
    <w:rsid w:val="00664993"/>
    <w:rsid w:val="006674E0"/>
    <w:rsid w:val="00672070"/>
    <w:rsid w:val="006A5B03"/>
    <w:rsid w:val="006C0185"/>
    <w:rsid w:val="007012C2"/>
    <w:rsid w:val="00755719"/>
    <w:rsid w:val="0076024A"/>
    <w:rsid w:val="00767C2A"/>
    <w:rsid w:val="007C1361"/>
    <w:rsid w:val="007C5800"/>
    <w:rsid w:val="00806866"/>
    <w:rsid w:val="00897147"/>
    <w:rsid w:val="008A6E9E"/>
    <w:rsid w:val="008D790C"/>
    <w:rsid w:val="00911621"/>
    <w:rsid w:val="00935951"/>
    <w:rsid w:val="00946404"/>
    <w:rsid w:val="009A1E76"/>
    <w:rsid w:val="009E2222"/>
    <w:rsid w:val="00A02F18"/>
    <w:rsid w:val="00A60A26"/>
    <w:rsid w:val="00A83047"/>
    <w:rsid w:val="00AC1CEF"/>
    <w:rsid w:val="00AF0F17"/>
    <w:rsid w:val="00B53C77"/>
    <w:rsid w:val="00B53DAA"/>
    <w:rsid w:val="00B6799F"/>
    <w:rsid w:val="00B75879"/>
    <w:rsid w:val="00B851EC"/>
    <w:rsid w:val="00B9408F"/>
    <w:rsid w:val="00BA33FA"/>
    <w:rsid w:val="00BB7A1A"/>
    <w:rsid w:val="00BC2071"/>
    <w:rsid w:val="00BC392D"/>
    <w:rsid w:val="00C50402"/>
    <w:rsid w:val="00C751FC"/>
    <w:rsid w:val="00CB34F5"/>
    <w:rsid w:val="00CB7DED"/>
    <w:rsid w:val="00CD5EA6"/>
    <w:rsid w:val="00CE58D9"/>
    <w:rsid w:val="00D56194"/>
    <w:rsid w:val="00D67AE1"/>
    <w:rsid w:val="00D95E93"/>
    <w:rsid w:val="00DB19B0"/>
    <w:rsid w:val="00DE7CBB"/>
    <w:rsid w:val="00E23674"/>
    <w:rsid w:val="00E40AEA"/>
    <w:rsid w:val="00E60B26"/>
    <w:rsid w:val="00E93B4B"/>
    <w:rsid w:val="00E95310"/>
    <w:rsid w:val="00ED2D9B"/>
    <w:rsid w:val="00EE3839"/>
    <w:rsid w:val="00F0628F"/>
    <w:rsid w:val="00F12933"/>
    <w:rsid w:val="00F264F6"/>
    <w:rsid w:val="00F472A5"/>
    <w:rsid w:val="00F836F6"/>
    <w:rsid w:val="00FF45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A8744-7329-46BD-897A-3E39C357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42CBC"/>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2C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2CBC"/>
  </w:style>
  <w:style w:type="paragraph" w:styleId="Fuzeile">
    <w:name w:val="footer"/>
    <w:basedOn w:val="Standard"/>
    <w:link w:val="FuzeileZchn"/>
    <w:uiPriority w:val="99"/>
    <w:unhideWhenUsed/>
    <w:rsid w:val="00142C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2CBC"/>
  </w:style>
  <w:style w:type="paragraph" w:styleId="Listenabsatz">
    <w:name w:val="List Paragraph"/>
    <w:basedOn w:val="Standard"/>
    <w:uiPriority w:val="34"/>
    <w:qFormat/>
    <w:rsid w:val="00142CBC"/>
    <w:pPr>
      <w:ind w:left="720"/>
      <w:contextualSpacing/>
    </w:pPr>
  </w:style>
  <w:style w:type="character" w:styleId="Hyperlink">
    <w:name w:val="Hyperlink"/>
    <w:basedOn w:val="Absatz-Standardschriftart"/>
    <w:uiPriority w:val="99"/>
    <w:unhideWhenUsed/>
    <w:rsid w:val="00142CBC"/>
    <w:rPr>
      <w:color w:val="0563C1" w:themeColor="hyperlink"/>
      <w:u w:val="single"/>
    </w:rPr>
  </w:style>
  <w:style w:type="table" w:styleId="Tabellenraster">
    <w:name w:val="Table Grid"/>
    <w:basedOn w:val="NormaleTabelle"/>
    <w:uiPriority w:val="59"/>
    <w:rsid w:val="00142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9A1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f.uzh.ch/financewiki/index.php?title=Eigenkapital" TargetMode="External"/><Relationship Id="rId7" Type="http://schemas.openxmlformats.org/officeDocument/2006/relationships/image" Target="media/image1.emf"/><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header" Target="header1.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hyperlink" Target="http://www.bf.uzh.ch/financewiki/index.php?title=Reingewinn" TargetMode="External"/><Relationship Id="rId10" Type="http://schemas.openxmlformats.org/officeDocument/2006/relationships/image" Target="media/image4.emf"/><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diagramColors" Target="diagrams/colors1.xml"/><Relationship Id="rId22" Type="http://schemas.openxmlformats.org/officeDocument/2006/relationships/hyperlink" Target="http://www.bf.uzh.ch/financewiki/index.php?title=Eigenkapital"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332DA6-7D38-42B7-B3C7-01BBF2BA1DC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96E9554F-CB16-431D-8300-ED78B5D82E5F}">
      <dgm:prSet phldrT="[Text]" custT="1"/>
      <dgm:spPr/>
      <dgm:t>
        <a:bodyPr/>
        <a:lstStyle/>
        <a:p>
          <a:r>
            <a:rPr lang="de-DE" sz="1400"/>
            <a:t>Erfolgsrechnung</a:t>
          </a:r>
        </a:p>
        <a:p>
          <a:r>
            <a:rPr lang="de-DE" sz="800"/>
            <a:t>Gegenüberstellung von Aufwand und Ertrag innerhalb eines Zeitraumes (meistens 1 Jahr)</a:t>
          </a:r>
        </a:p>
      </dgm:t>
    </dgm:pt>
    <dgm:pt modelId="{246C3CE3-4F65-4F60-846A-990AB0F4C9AE}" type="parTrans" cxnId="{FC7D8391-0B1D-4E2E-80F4-96A50E2F833E}">
      <dgm:prSet/>
      <dgm:spPr/>
      <dgm:t>
        <a:bodyPr/>
        <a:lstStyle/>
        <a:p>
          <a:endParaRPr lang="de-DE"/>
        </a:p>
      </dgm:t>
    </dgm:pt>
    <dgm:pt modelId="{C07D3CE0-EE0A-4E75-900A-4E8CE85F0272}" type="sibTrans" cxnId="{FC7D8391-0B1D-4E2E-80F4-96A50E2F833E}">
      <dgm:prSet/>
      <dgm:spPr/>
      <dgm:t>
        <a:bodyPr/>
        <a:lstStyle/>
        <a:p>
          <a:endParaRPr lang="de-DE"/>
        </a:p>
      </dgm:t>
    </dgm:pt>
    <dgm:pt modelId="{D054F43A-8939-40D8-BDFA-F6F3CFED8B0F}">
      <dgm:prSet phldrT="[Text]" custT="1"/>
      <dgm:spPr/>
      <dgm:t>
        <a:bodyPr/>
        <a:lstStyle/>
        <a:p>
          <a:pPr algn="ctr"/>
          <a:r>
            <a:rPr lang="de-DE" sz="1200" b="1"/>
            <a:t>Aufwand</a:t>
          </a:r>
        </a:p>
        <a:p>
          <a:pPr algn="l"/>
          <a:r>
            <a:rPr lang="de-DE" sz="800"/>
            <a:t>Für die Produktion von Gütern und Dienstleistungen werden Arbeitskräfte und Vermögenswerte eingesetzt sowie Dienstleistungen anderer beansprucht. Dieser Wertverzehr wird in der Buchhaltung als Aufwand bezeichnet. </a:t>
          </a:r>
          <a:r>
            <a:rPr lang="de-DE" sz="1000"/>
            <a:t>		</a:t>
          </a:r>
        </a:p>
      </dgm:t>
    </dgm:pt>
    <dgm:pt modelId="{C0E59A79-ADDC-44B2-9325-D299934E32A3}" type="parTrans" cxnId="{847947DB-3734-4D0F-B617-31AA531ABF38}">
      <dgm:prSet/>
      <dgm:spPr/>
      <dgm:t>
        <a:bodyPr/>
        <a:lstStyle/>
        <a:p>
          <a:endParaRPr lang="de-DE"/>
        </a:p>
      </dgm:t>
    </dgm:pt>
    <dgm:pt modelId="{7E148500-B686-4FD7-9B53-2EA2F54FDAF6}" type="sibTrans" cxnId="{847947DB-3734-4D0F-B617-31AA531ABF38}">
      <dgm:prSet/>
      <dgm:spPr/>
      <dgm:t>
        <a:bodyPr/>
        <a:lstStyle/>
        <a:p>
          <a:endParaRPr lang="de-DE"/>
        </a:p>
      </dgm:t>
    </dgm:pt>
    <dgm:pt modelId="{254638A9-F300-4EF0-B92A-471A14E0ECC0}">
      <dgm:prSet phldrT="[Text]" custT="1"/>
      <dgm:spPr/>
      <dgm:t>
        <a:bodyPr/>
        <a:lstStyle/>
        <a:p>
          <a:pPr algn="ctr"/>
          <a:r>
            <a:rPr lang="de-DE" sz="1200" b="1"/>
            <a:t>Ertrag</a:t>
          </a:r>
        </a:p>
        <a:p>
          <a:pPr algn="l"/>
          <a:r>
            <a:rPr lang="de-CH" sz="800"/>
            <a:t>Einnahmen aus  betrieblichen und nichtbetrieblichen Leistungen.</a:t>
          </a:r>
        </a:p>
        <a:p>
          <a:pPr algn="l"/>
          <a:r>
            <a:rPr lang="de-CH" sz="800"/>
            <a:t>Durch den Verkauf von Gütern und Dienstleistungen entsteht ein Wertzuwachs, der in der Buchhaltung als Ertrag bezeichnet wird. </a:t>
          </a:r>
          <a:endParaRPr lang="de-DE" sz="800"/>
        </a:p>
      </dgm:t>
    </dgm:pt>
    <dgm:pt modelId="{D56C9975-F49F-45C4-BEE3-F8E9EF17BF3D}" type="parTrans" cxnId="{3B1D4581-5696-4E56-9FAE-CEE68CDF4DB3}">
      <dgm:prSet/>
      <dgm:spPr/>
      <dgm:t>
        <a:bodyPr/>
        <a:lstStyle/>
        <a:p>
          <a:endParaRPr lang="de-DE"/>
        </a:p>
      </dgm:t>
    </dgm:pt>
    <dgm:pt modelId="{8B8AAC70-E7D2-4E75-820C-07173544D8CA}" type="sibTrans" cxnId="{3B1D4581-5696-4E56-9FAE-CEE68CDF4DB3}">
      <dgm:prSet/>
      <dgm:spPr/>
      <dgm:t>
        <a:bodyPr/>
        <a:lstStyle/>
        <a:p>
          <a:endParaRPr lang="de-DE"/>
        </a:p>
      </dgm:t>
    </dgm:pt>
    <dgm:pt modelId="{7E23CA65-5B79-40B8-B0FB-AAA2B28EA975}" type="pres">
      <dgm:prSet presAssocID="{D4332DA6-7D38-42B7-B3C7-01BBF2BA1DC1}" presName="hierChild1" presStyleCnt="0">
        <dgm:presLayoutVars>
          <dgm:orgChart val="1"/>
          <dgm:chPref val="1"/>
          <dgm:dir/>
          <dgm:animOne val="branch"/>
          <dgm:animLvl val="lvl"/>
          <dgm:resizeHandles/>
        </dgm:presLayoutVars>
      </dgm:prSet>
      <dgm:spPr/>
    </dgm:pt>
    <dgm:pt modelId="{4086CC7C-926B-46C8-8C13-EE4DF35D8D27}" type="pres">
      <dgm:prSet presAssocID="{96E9554F-CB16-431D-8300-ED78B5D82E5F}" presName="hierRoot1" presStyleCnt="0">
        <dgm:presLayoutVars>
          <dgm:hierBranch val="init"/>
        </dgm:presLayoutVars>
      </dgm:prSet>
      <dgm:spPr/>
    </dgm:pt>
    <dgm:pt modelId="{F53344DA-9DED-435E-8A8B-97820ACEB5A8}" type="pres">
      <dgm:prSet presAssocID="{96E9554F-CB16-431D-8300-ED78B5D82E5F}" presName="rootComposite1" presStyleCnt="0"/>
      <dgm:spPr/>
    </dgm:pt>
    <dgm:pt modelId="{F419E6EA-AEEB-4B3A-B248-85B6A515D3DA}" type="pres">
      <dgm:prSet presAssocID="{96E9554F-CB16-431D-8300-ED78B5D82E5F}" presName="rootText1" presStyleLbl="node0" presStyleIdx="0" presStyleCnt="1" custScaleY="60109">
        <dgm:presLayoutVars>
          <dgm:chPref val="3"/>
        </dgm:presLayoutVars>
      </dgm:prSet>
      <dgm:spPr/>
    </dgm:pt>
    <dgm:pt modelId="{8C35BB58-A32F-4304-8C36-11883BBDE89E}" type="pres">
      <dgm:prSet presAssocID="{96E9554F-CB16-431D-8300-ED78B5D82E5F}" presName="rootConnector1" presStyleLbl="node1" presStyleIdx="0" presStyleCnt="0"/>
      <dgm:spPr/>
    </dgm:pt>
    <dgm:pt modelId="{51F176F4-73C7-4497-9991-669E06909AD8}" type="pres">
      <dgm:prSet presAssocID="{96E9554F-CB16-431D-8300-ED78B5D82E5F}" presName="hierChild2" presStyleCnt="0"/>
      <dgm:spPr/>
    </dgm:pt>
    <dgm:pt modelId="{F3C948AD-FBB8-4BC4-B479-34A44B641A04}" type="pres">
      <dgm:prSet presAssocID="{C0E59A79-ADDC-44B2-9325-D299934E32A3}" presName="Name37" presStyleLbl="parChTrans1D2" presStyleIdx="0" presStyleCnt="2"/>
      <dgm:spPr/>
    </dgm:pt>
    <dgm:pt modelId="{1813A3ED-C8CD-4AA8-959A-944D3E754C18}" type="pres">
      <dgm:prSet presAssocID="{D054F43A-8939-40D8-BDFA-F6F3CFED8B0F}" presName="hierRoot2" presStyleCnt="0">
        <dgm:presLayoutVars>
          <dgm:hierBranch val="init"/>
        </dgm:presLayoutVars>
      </dgm:prSet>
      <dgm:spPr/>
    </dgm:pt>
    <dgm:pt modelId="{7F3346D9-783B-4051-8FDC-9524E2F92F2F}" type="pres">
      <dgm:prSet presAssocID="{D054F43A-8939-40D8-BDFA-F6F3CFED8B0F}" presName="rootComposite" presStyleCnt="0"/>
      <dgm:spPr/>
    </dgm:pt>
    <dgm:pt modelId="{D791E717-1805-4E92-BD91-255FAF70844F}" type="pres">
      <dgm:prSet presAssocID="{D054F43A-8939-40D8-BDFA-F6F3CFED8B0F}" presName="rootText" presStyleLbl="node2" presStyleIdx="0" presStyleCnt="2" custScaleY="79691">
        <dgm:presLayoutVars>
          <dgm:chPref val="3"/>
        </dgm:presLayoutVars>
      </dgm:prSet>
      <dgm:spPr/>
    </dgm:pt>
    <dgm:pt modelId="{2812677E-D607-4303-A72B-0659D3480A28}" type="pres">
      <dgm:prSet presAssocID="{D054F43A-8939-40D8-BDFA-F6F3CFED8B0F}" presName="rootConnector" presStyleLbl="node2" presStyleIdx="0" presStyleCnt="2"/>
      <dgm:spPr/>
    </dgm:pt>
    <dgm:pt modelId="{14032DEA-AAF9-4E85-8B3A-B477E95E2CF8}" type="pres">
      <dgm:prSet presAssocID="{D054F43A-8939-40D8-BDFA-F6F3CFED8B0F}" presName="hierChild4" presStyleCnt="0"/>
      <dgm:spPr/>
    </dgm:pt>
    <dgm:pt modelId="{9C6B2E4D-1827-4739-B866-5D73AD996AD0}" type="pres">
      <dgm:prSet presAssocID="{D054F43A-8939-40D8-BDFA-F6F3CFED8B0F}" presName="hierChild5" presStyleCnt="0"/>
      <dgm:spPr/>
    </dgm:pt>
    <dgm:pt modelId="{7A3D7C21-6DA6-4D8A-A1A3-92C89EBB006A}" type="pres">
      <dgm:prSet presAssocID="{D56C9975-F49F-45C4-BEE3-F8E9EF17BF3D}" presName="Name37" presStyleLbl="parChTrans1D2" presStyleIdx="1" presStyleCnt="2"/>
      <dgm:spPr/>
    </dgm:pt>
    <dgm:pt modelId="{C39F14B8-BD87-4F50-BBCC-2932BCA18E2C}" type="pres">
      <dgm:prSet presAssocID="{254638A9-F300-4EF0-B92A-471A14E0ECC0}" presName="hierRoot2" presStyleCnt="0">
        <dgm:presLayoutVars>
          <dgm:hierBranch val="init"/>
        </dgm:presLayoutVars>
      </dgm:prSet>
      <dgm:spPr/>
    </dgm:pt>
    <dgm:pt modelId="{B92576B3-2AC3-44EC-A373-B3D388612C80}" type="pres">
      <dgm:prSet presAssocID="{254638A9-F300-4EF0-B92A-471A14E0ECC0}" presName="rootComposite" presStyleCnt="0"/>
      <dgm:spPr/>
    </dgm:pt>
    <dgm:pt modelId="{EA421403-B583-4B55-8667-7B42B5691795}" type="pres">
      <dgm:prSet presAssocID="{254638A9-F300-4EF0-B92A-471A14E0ECC0}" presName="rootText" presStyleLbl="node2" presStyleIdx="1" presStyleCnt="2" custScaleY="79691">
        <dgm:presLayoutVars>
          <dgm:chPref val="3"/>
        </dgm:presLayoutVars>
      </dgm:prSet>
      <dgm:spPr/>
    </dgm:pt>
    <dgm:pt modelId="{5D261E34-5931-4015-97F6-B2B30913A933}" type="pres">
      <dgm:prSet presAssocID="{254638A9-F300-4EF0-B92A-471A14E0ECC0}" presName="rootConnector" presStyleLbl="node2" presStyleIdx="1" presStyleCnt="2"/>
      <dgm:spPr/>
    </dgm:pt>
    <dgm:pt modelId="{5BA6A2AF-3FAB-45C8-BEFE-13D207BF38CC}" type="pres">
      <dgm:prSet presAssocID="{254638A9-F300-4EF0-B92A-471A14E0ECC0}" presName="hierChild4" presStyleCnt="0"/>
      <dgm:spPr/>
    </dgm:pt>
    <dgm:pt modelId="{CD963E8A-D841-4EA2-9669-65EDE7DB407E}" type="pres">
      <dgm:prSet presAssocID="{254638A9-F300-4EF0-B92A-471A14E0ECC0}" presName="hierChild5" presStyleCnt="0"/>
      <dgm:spPr/>
    </dgm:pt>
    <dgm:pt modelId="{6451A225-4054-4725-B904-07666902C286}" type="pres">
      <dgm:prSet presAssocID="{96E9554F-CB16-431D-8300-ED78B5D82E5F}" presName="hierChild3" presStyleCnt="0"/>
      <dgm:spPr/>
    </dgm:pt>
  </dgm:ptLst>
  <dgm:cxnLst>
    <dgm:cxn modelId="{B6E2F903-934E-44C4-9F5B-684552319FBF}" type="presOf" srcId="{D56C9975-F49F-45C4-BEE3-F8E9EF17BF3D}" destId="{7A3D7C21-6DA6-4D8A-A1A3-92C89EBB006A}" srcOrd="0" destOrd="0" presId="urn:microsoft.com/office/officeart/2005/8/layout/orgChart1"/>
    <dgm:cxn modelId="{A3C93B09-B4F7-4903-872B-306701F01ECB}" type="presOf" srcId="{D054F43A-8939-40D8-BDFA-F6F3CFED8B0F}" destId="{2812677E-D607-4303-A72B-0659D3480A28}" srcOrd="1" destOrd="0" presId="urn:microsoft.com/office/officeart/2005/8/layout/orgChart1"/>
    <dgm:cxn modelId="{1DCEFC0E-C0D7-4183-99EF-D6FB5B483BB6}" type="presOf" srcId="{254638A9-F300-4EF0-B92A-471A14E0ECC0}" destId="{EA421403-B583-4B55-8667-7B42B5691795}" srcOrd="0" destOrd="0" presId="urn:microsoft.com/office/officeart/2005/8/layout/orgChart1"/>
    <dgm:cxn modelId="{B46D3932-8A22-40A7-8A03-63396A1E1581}" type="presOf" srcId="{D4332DA6-7D38-42B7-B3C7-01BBF2BA1DC1}" destId="{7E23CA65-5B79-40B8-B0FB-AAA2B28EA975}" srcOrd="0" destOrd="0" presId="urn:microsoft.com/office/officeart/2005/8/layout/orgChart1"/>
    <dgm:cxn modelId="{72C3F367-8FC3-46C3-A51D-44D5EA3ED26E}" type="presOf" srcId="{254638A9-F300-4EF0-B92A-471A14E0ECC0}" destId="{5D261E34-5931-4015-97F6-B2B30913A933}" srcOrd="1" destOrd="0" presId="urn:microsoft.com/office/officeart/2005/8/layout/orgChart1"/>
    <dgm:cxn modelId="{3C0A8C6D-B6CB-4CEA-AC23-D2259AC41335}" type="presOf" srcId="{D054F43A-8939-40D8-BDFA-F6F3CFED8B0F}" destId="{D791E717-1805-4E92-BD91-255FAF70844F}" srcOrd="0" destOrd="0" presId="urn:microsoft.com/office/officeart/2005/8/layout/orgChart1"/>
    <dgm:cxn modelId="{12CA0B73-03FC-497A-BF2D-5D0E5BBB445B}" type="presOf" srcId="{96E9554F-CB16-431D-8300-ED78B5D82E5F}" destId="{F419E6EA-AEEB-4B3A-B248-85B6A515D3DA}" srcOrd="0" destOrd="0" presId="urn:microsoft.com/office/officeart/2005/8/layout/orgChart1"/>
    <dgm:cxn modelId="{3B1D4581-5696-4E56-9FAE-CEE68CDF4DB3}" srcId="{96E9554F-CB16-431D-8300-ED78B5D82E5F}" destId="{254638A9-F300-4EF0-B92A-471A14E0ECC0}" srcOrd="1" destOrd="0" parTransId="{D56C9975-F49F-45C4-BEE3-F8E9EF17BF3D}" sibTransId="{8B8AAC70-E7D2-4E75-820C-07173544D8CA}"/>
    <dgm:cxn modelId="{FC7D8391-0B1D-4E2E-80F4-96A50E2F833E}" srcId="{D4332DA6-7D38-42B7-B3C7-01BBF2BA1DC1}" destId="{96E9554F-CB16-431D-8300-ED78B5D82E5F}" srcOrd="0" destOrd="0" parTransId="{246C3CE3-4F65-4F60-846A-990AB0F4C9AE}" sibTransId="{C07D3CE0-EE0A-4E75-900A-4E8CE85F0272}"/>
    <dgm:cxn modelId="{6382C5B5-B4A8-4D77-AD08-FF4B799A6952}" type="presOf" srcId="{C0E59A79-ADDC-44B2-9325-D299934E32A3}" destId="{F3C948AD-FBB8-4BC4-B479-34A44B641A04}" srcOrd="0" destOrd="0" presId="urn:microsoft.com/office/officeart/2005/8/layout/orgChart1"/>
    <dgm:cxn modelId="{4EC15BD4-1B4A-4E31-B757-02F3FDA097D2}" type="presOf" srcId="{96E9554F-CB16-431D-8300-ED78B5D82E5F}" destId="{8C35BB58-A32F-4304-8C36-11883BBDE89E}" srcOrd="1" destOrd="0" presId="urn:microsoft.com/office/officeart/2005/8/layout/orgChart1"/>
    <dgm:cxn modelId="{847947DB-3734-4D0F-B617-31AA531ABF38}" srcId="{96E9554F-CB16-431D-8300-ED78B5D82E5F}" destId="{D054F43A-8939-40D8-BDFA-F6F3CFED8B0F}" srcOrd="0" destOrd="0" parTransId="{C0E59A79-ADDC-44B2-9325-D299934E32A3}" sibTransId="{7E148500-B686-4FD7-9B53-2EA2F54FDAF6}"/>
    <dgm:cxn modelId="{34606880-0F7C-486E-A843-00F708D5E7C9}" type="presParOf" srcId="{7E23CA65-5B79-40B8-B0FB-AAA2B28EA975}" destId="{4086CC7C-926B-46C8-8C13-EE4DF35D8D27}" srcOrd="0" destOrd="0" presId="urn:microsoft.com/office/officeart/2005/8/layout/orgChart1"/>
    <dgm:cxn modelId="{2708610B-8234-4B17-8E84-65D1A5FE9D97}" type="presParOf" srcId="{4086CC7C-926B-46C8-8C13-EE4DF35D8D27}" destId="{F53344DA-9DED-435E-8A8B-97820ACEB5A8}" srcOrd="0" destOrd="0" presId="urn:microsoft.com/office/officeart/2005/8/layout/orgChart1"/>
    <dgm:cxn modelId="{A6931187-6478-4514-8D9B-453AEF51DEF4}" type="presParOf" srcId="{F53344DA-9DED-435E-8A8B-97820ACEB5A8}" destId="{F419E6EA-AEEB-4B3A-B248-85B6A515D3DA}" srcOrd="0" destOrd="0" presId="urn:microsoft.com/office/officeart/2005/8/layout/orgChart1"/>
    <dgm:cxn modelId="{A3AB3A66-A1F7-427C-92C9-5CAD4BEC569F}" type="presParOf" srcId="{F53344DA-9DED-435E-8A8B-97820ACEB5A8}" destId="{8C35BB58-A32F-4304-8C36-11883BBDE89E}" srcOrd="1" destOrd="0" presId="urn:microsoft.com/office/officeart/2005/8/layout/orgChart1"/>
    <dgm:cxn modelId="{32BC558B-8E98-42DC-8C70-282C9105BFD2}" type="presParOf" srcId="{4086CC7C-926B-46C8-8C13-EE4DF35D8D27}" destId="{51F176F4-73C7-4497-9991-669E06909AD8}" srcOrd="1" destOrd="0" presId="urn:microsoft.com/office/officeart/2005/8/layout/orgChart1"/>
    <dgm:cxn modelId="{AC1EE524-98D8-4A34-9FCD-C698855F98A8}" type="presParOf" srcId="{51F176F4-73C7-4497-9991-669E06909AD8}" destId="{F3C948AD-FBB8-4BC4-B479-34A44B641A04}" srcOrd="0" destOrd="0" presId="urn:microsoft.com/office/officeart/2005/8/layout/orgChart1"/>
    <dgm:cxn modelId="{B59DB341-CAE9-48BC-8497-90499419243C}" type="presParOf" srcId="{51F176F4-73C7-4497-9991-669E06909AD8}" destId="{1813A3ED-C8CD-4AA8-959A-944D3E754C18}" srcOrd="1" destOrd="0" presId="urn:microsoft.com/office/officeart/2005/8/layout/orgChart1"/>
    <dgm:cxn modelId="{9D7D44B9-ABF8-45BF-A0A8-A7BC540A0351}" type="presParOf" srcId="{1813A3ED-C8CD-4AA8-959A-944D3E754C18}" destId="{7F3346D9-783B-4051-8FDC-9524E2F92F2F}" srcOrd="0" destOrd="0" presId="urn:microsoft.com/office/officeart/2005/8/layout/orgChart1"/>
    <dgm:cxn modelId="{C6D70DB3-FEEB-4F12-93FD-CAF46F3DEC10}" type="presParOf" srcId="{7F3346D9-783B-4051-8FDC-9524E2F92F2F}" destId="{D791E717-1805-4E92-BD91-255FAF70844F}" srcOrd="0" destOrd="0" presId="urn:microsoft.com/office/officeart/2005/8/layout/orgChart1"/>
    <dgm:cxn modelId="{4B7CE74D-1422-4216-A2E3-B77C97C82138}" type="presParOf" srcId="{7F3346D9-783B-4051-8FDC-9524E2F92F2F}" destId="{2812677E-D607-4303-A72B-0659D3480A28}" srcOrd="1" destOrd="0" presId="urn:microsoft.com/office/officeart/2005/8/layout/orgChart1"/>
    <dgm:cxn modelId="{4A6AD41C-1EE4-4191-AC97-C6E7ECB9B6DC}" type="presParOf" srcId="{1813A3ED-C8CD-4AA8-959A-944D3E754C18}" destId="{14032DEA-AAF9-4E85-8B3A-B477E95E2CF8}" srcOrd="1" destOrd="0" presId="urn:microsoft.com/office/officeart/2005/8/layout/orgChart1"/>
    <dgm:cxn modelId="{C8218EB4-B750-48B9-A7C0-D5761E3DAF14}" type="presParOf" srcId="{1813A3ED-C8CD-4AA8-959A-944D3E754C18}" destId="{9C6B2E4D-1827-4739-B866-5D73AD996AD0}" srcOrd="2" destOrd="0" presId="urn:microsoft.com/office/officeart/2005/8/layout/orgChart1"/>
    <dgm:cxn modelId="{AEDAA294-ABB6-484A-ABF6-BA32130B8098}" type="presParOf" srcId="{51F176F4-73C7-4497-9991-669E06909AD8}" destId="{7A3D7C21-6DA6-4D8A-A1A3-92C89EBB006A}" srcOrd="2" destOrd="0" presId="urn:microsoft.com/office/officeart/2005/8/layout/orgChart1"/>
    <dgm:cxn modelId="{A71E340A-AFF3-49CC-9F0D-AE8BE66A4CDB}" type="presParOf" srcId="{51F176F4-73C7-4497-9991-669E06909AD8}" destId="{C39F14B8-BD87-4F50-BBCC-2932BCA18E2C}" srcOrd="3" destOrd="0" presId="urn:microsoft.com/office/officeart/2005/8/layout/orgChart1"/>
    <dgm:cxn modelId="{87B064AC-52E1-4186-9300-23FED04F556C}" type="presParOf" srcId="{C39F14B8-BD87-4F50-BBCC-2932BCA18E2C}" destId="{B92576B3-2AC3-44EC-A373-B3D388612C80}" srcOrd="0" destOrd="0" presId="urn:microsoft.com/office/officeart/2005/8/layout/orgChart1"/>
    <dgm:cxn modelId="{DAAFCA45-31A8-4889-B797-ECB34D7BB668}" type="presParOf" srcId="{B92576B3-2AC3-44EC-A373-B3D388612C80}" destId="{EA421403-B583-4B55-8667-7B42B5691795}" srcOrd="0" destOrd="0" presId="urn:microsoft.com/office/officeart/2005/8/layout/orgChart1"/>
    <dgm:cxn modelId="{DC984A2E-B0F5-4B40-A664-8F7ECE5AE5E6}" type="presParOf" srcId="{B92576B3-2AC3-44EC-A373-B3D388612C80}" destId="{5D261E34-5931-4015-97F6-B2B30913A933}" srcOrd="1" destOrd="0" presId="urn:microsoft.com/office/officeart/2005/8/layout/orgChart1"/>
    <dgm:cxn modelId="{2275335F-2A5B-4570-B9E8-F294C97C3B29}" type="presParOf" srcId="{C39F14B8-BD87-4F50-BBCC-2932BCA18E2C}" destId="{5BA6A2AF-3FAB-45C8-BEFE-13D207BF38CC}" srcOrd="1" destOrd="0" presId="urn:microsoft.com/office/officeart/2005/8/layout/orgChart1"/>
    <dgm:cxn modelId="{246F2F7F-FD91-4FC5-829A-696F50947A9E}" type="presParOf" srcId="{C39F14B8-BD87-4F50-BBCC-2932BCA18E2C}" destId="{CD963E8A-D841-4EA2-9669-65EDE7DB407E}" srcOrd="2" destOrd="0" presId="urn:microsoft.com/office/officeart/2005/8/layout/orgChart1"/>
    <dgm:cxn modelId="{6FCF0FDA-C2F2-4A48-B270-374E5C8BD844}" type="presParOf" srcId="{4086CC7C-926B-46C8-8C13-EE4DF35D8D27}" destId="{6451A225-4054-4725-B904-07666902C28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4332DA6-7D38-42B7-B3C7-01BBF2BA1DC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96E9554F-CB16-431D-8300-ED78B5D82E5F}">
      <dgm:prSet phldrT="[Text]" custT="1"/>
      <dgm:spPr>
        <a:solidFill>
          <a:srgbClr val="92D050"/>
        </a:solidFill>
      </dgm:spPr>
      <dgm:t>
        <a:bodyPr/>
        <a:lstStyle/>
        <a:p>
          <a:r>
            <a:rPr lang="de-DE" sz="1400">
              <a:solidFill>
                <a:schemeClr val="bg1"/>
              </a:solidFill>
            </a:rPr>
            <a:t>Bilanz</a:t>
          </a:r>
        </a:p>
        <a:p>
          <a:r>
            <a:rPr lang="de-DE" sz="800">
              <a:solidFill>
                <a:schemeClr val="bg1"/>
              </a:solidFill>
            </a:rPr>
            <a:t>Gegenüberstellung von Aktiven und Passiven zu einem bestimmten Zeitpunkt</a:t>
          </a:r>
        </a:p>
      </dgm:t>
    </dgm:pt>
    <dgm:pt modelId="{246C3CE3-4F65-4F60-846A-990AB0F4C9AE}" type="parTrans" cxnId="{FC7D8391-0B1D-4E2E-80F4-96A50E2F833E}">
      <dgm:prSet/>
      <dgm:spPr/>
      <dgm:t>
        <a:bodyPr/>
        <a:lstStyle/>
        <a:p>
          <a:endParaRPr lang="de-DE"/>
        </a:p>
      </dgm:t>
    </dgm:pt>
    <dgm:pt modelId="{C07D3CE0-EE0A-4E75-900A-4E8CE85F0272}" type="sibTrans" cxnId="{FC7D8391-0B1D-4E2E-80F4-96A50E2F833E}">
      <dgm:prSet/>
      <dgm:spPr/>
      <dgm:t>
        <a:bodyPr/>
        <a:lstStyle/>
        <a:p>
          <a:endParaRPr lang="de-DE"/>
        </a:p>
      </dgm:t>
    </dgm:pt>
    <dgm:pt modelId="{D054F43A-8939-40D8-BDFA-F6F3CFED8B0F}">
      <dgm:prSet phldrT="[Text]" custT="1"/>
      <dgm:spPr>
        <a:solidFill>
          <a:srgbClr val="92D050"/>
        </a:solidFill>
      </dgm:spPr>
      <dgm:t>
        <a:bodyPr/>
        <a:lstStyle/>
        <a:p>
          <a:pPr algn="ctr"/>
          <a:r>
            <a:rPr lang="de-DE" sz="1200" b="1">
              <a:solidFill>
                <a:schemeClr val="bg1"/>
              </a:solidFill>
            </a:rPr>
            <a:t>Aktiven (Vermögen)</a:t>
          </a:r>
        </a:p>
        <a:p>
          <a:pPr algn="l"/>
          <a:r>
            <a:rPr lang="de-DE" sz="800">
              <a:solidFill>
                <a:schemeClr val="bg1"/>
              </a:solidFill>
            </a:rPr>
            <a:t>Die Aktivseite gibt Auskunft darüber, WIE das verfügbare Kapital angelegt wurde. </a:t>
          </a:r>
          <a:r>
            <a:rPr lang="de-DE" sz="1000">
              <a:solidFill>
                <a:schemeClr val="bg1"/>
              </a:solidFill>
            </a:rPr>
            <a:t>	</a:t>
          </a:r>
        </a:p>
      </dgm:t>
    </dgm:pt>
    <dgm:pt modelId="{C0E59A79-ADDC-44B2-9325-D299934E32A3}" type="parTrans" cxnId="{847947DB-3734-4D0F-B617-31AA531ABF38}">
      <dgm:prSet/>
      <dgm:spPr>
        <a:ln>
          <a:solidFill>
            <a:srgbClr val="92D050"/>
          </a:solidFill>
        </a:ln>
      </dgm:spPr>
      <dgm:t>
        <a:bodyPr/>
        <a:lstStyle/>
        <a:p>
          <a:endParaRPr lang="de-DE"/>
        </a:p>
      </dgm:t>
    </dgm:pt>
    <dgm:pt modelId="{7E148500-B686-4FD7-9B53-2EA2F54FDAF6}" type="sibTrans" cxnId="{847947DB-3734-4D0F-B617-31AA531ABF38}">
      <dgm:prSet/>
      <dgm:spPr/>
      <dgm:t>
        <a:bodyPr/>
        <a:lstStyle/>
        <a:p>
          <a:endParaRPr lang="de-DE"/>
        </a:p>
      </dgm:t>
    </dgm:pt>
    <dgm:pt modelId="{254638A9-F300-4EF0-B92A-471A14E0ECC0}">
      <dgm:prSet phldrT="[Text]" custT="1"/>
      <dgm:spPr>
        <a:solidFill>
          <a:srgbClr val="92D050"/>
        </a:solidFill>
      </dgm:spPr>
      <dgm:t>
        <a:bodyPr/>
        <a:lstStyle/>
        <a:p>
          <a:pPr algn="ctr"/>
          <a:r>
            <a:rPr lang="de-DE" sz="1200" b="1">
              <a:solidFill>
                <a:schemeClr val="bg1"/>
              </a:solidFill>
            </a:rPr>
            <a:t>Passiven (Kapital)</a:t>
          </a:r>
        </a:p>
        <a:p>
          <a:pPr algn="l"/>
          <a:r>
            <a:rPr lang="de-CH" sz="800">
              <a:solidFill>
                <a:schemeClr val="bg1"/>
              </a:solidFill>
            </a:rPr>
            <a:t>Die Passivseite zeigt, WER der Unternehmung Kapital zur Verfügung gestellt hat. </a:t>
          </a:r>
          <a:endParaRPr lang="de-DE" sz="800">
            <a:solidFill>
              <a:schemeClr val="bg1"/>
            </a:solidFill>
          </a:endParaRPr>
        </a:p>
      </dgm:t>
    </dgm:pt>
    <dgm:pt modelId="{D56C9975-F49F-45C4-BEE3-F8E9EF17BF3D}" type="parTrans" cxnId="{3B1D4581-5696-4E56-9FAE-CEE68CDF4DB3}">
      <dgm:prSet/>
      <dgm:spPr>
        <a:ln>
          <a:solidFill>
            <a:srgbClr val="92D050"/>
          </a:solidFill>
        </a:ln>
      </dgm:spPr>
      <dgm:t>
        <a:bodyPr/>
        <a:lstStyle/>
        <a:p>
          <a:endParaRPr lang="de-DE"/>
        </a:p>
      </dgm:t>
    </dgm:pt>
    <dgm:pt modelId="{8B8AAC70-E7D2-4E75-820C-07173544D8CA}" type="sibTrans" cxnId="{3B1D4581-5696-4E56-9FAE-CEE68CDF4DB3}">
      <dgm:prSet/>
      <dgm:spPr/>
      <dgm:t>
        <a:bodyPr/>
        <a:lstStyle/>
        <a:p>
          <a:endParaRPr lang="de-DE"/>
        </a:p>
      </dgm:t>
    </dgm:pt>
    <dgm:pt modelId="{7E23CA65-5B79-40B8-B0FB-AAA2B28EA975}" type="pres">
      <dgm:prSet presAssocID="{D4332DA6-7D38-42B7-B3C7-01BBF2BA1DC1}" presName="hierChild1" presStyleCnt="0">
        <dgm:presLayoutVars>
          <dgm:orgChart val="1"/>
          <dgm:chPref val="1"/>
          <dgm:dir/>
          <dgm:animOne val="branch"/>
          <dgm:animLvl val="lvl"/>
          <dgm:resizeHandles/>
        </dgm:presLayoutVars>
      </dgm:prSet>
      <dgm:spPr/>
    </dgm:pt>
    <dgm:pt modelId="{4086CC7C-926B-46C8-8C13-EE4DF35D8D27}" type="pres">
      <dgm:prSet presAssocID="{96E9554F-CB16-431D-8300-ED78B5D82E5F}" presName="hierRoot1" presStyleCnt="0">
        <dgm:presLayoutVars>
          <dgm:hierBranch val="init"/>
        </dgm:presLayoutVars>
      </dgm:prSet>
      <dgm:spPr/>
    </dgm:pt>
    <dgm:pt modelId="{F53344DA-9DED-435E-8A8B-97820ACEB5A8}" type="pres">
      <dgm:prSet presAssocID="{96E9554F-CB16-431D-8300-ED78B5D82E5F}" presName="rootComposite1" presStyleCnt="0"/>
      <dgm:spPr/>
    </dgm:pt>
    <dgm:pt modelId="{F419E6EA-AEEB-4B3A-B248-85B6A515D3DA}" type="pres">
      <dgm:prSet presAssocID="{96E9554F-CB16-431D-8300-ED78B5D82E5F}" presName="rootText1" presStyleLbl="node0" presStyleIdx="0" presStyleCnt="1" custScaleY="60109">
        <dgm:presLayoutVars>
          <dgm:chPref val="3"/>
        </dgm:presLayoutVars>
      </dgm:prSet>
      <dgm:spPr/>
    </dgm:pt>
    <dgm:pt modelId="{8C35BB58-A32F-4304-8C36-11883BBDE89E}" type="pres">
      <dgm:prSet presAssocID="{96E9554F-CB16-431D-8300-ED78B5D82E5F}" presName="rootConnector1" presStyleLbl="node1" presStyleIdx="0" presStyleCnt="0"/>
      <dgm:spPr/>
    </dgm:pt>
    <dgm:pt modelId="{51F176F4-73C7-4497-9991-669E06909AD8}" type="pres">
      <dgm:prSet presAssocID="{96E9554F-CB16-431D-8300-ED78B5D82E5F}" presName="hierChild2" presStyleCnt="0"/>
      <dgm:spPr/>
    </dgm:pt>
    <dgm:pt modelId="{F3C948AD-FBB8-4BC4-B479-34A44B641A04}" type="pres">
      <dgm:prSet presAssocID="{C0E59A79-ADDC-44B2-9325-D299934E32A3}" presName="Name37" presStyleLbl="parChTrans1D2" presStyleIdx="0" presStyleCnt="2"/>
      <dgm:spPr/>
    </dgm:pt>
    <dgm:pt modelId="{1813A3ED-C8CD-4AA8-959A-944D3E754C18}" type="pres">
      <dgm:prSet presAssocID="{D054F43A-8939-40D8-BDFA-F6F3CFED8B0F}" presName="hierRoot2" presStyleCnt="0">
        <dgm:presLayoutVars>
          <dgm:hierBranch val="init"/>
        </dgm:presLayoutVars>
      </dgm:prSet>
      <dgm:spPr/>
    </dgm:pt>
    <dgm:pt modelId="{7F3346D9-783B-4051-8FDC-9524E2F92F2F}" type="pres">
      <dgm:prSet presAssocID="{D054F43A-8939-40D8-BDFA-F6F3CFED8B0F}" presName="rootComposite" presStyleCnt="0"/>
      <dgm:spPr/>
    </dgm:pt>
    <dgm:pt modelId="{D791E717-1805-4E92-BD91-255FAF70844F}" type="pres">
      <dgm:prSet presAssocID="{D054F43A-8939-40D8-BDFA-F6F3CFED8B0F}" presName="rootText" presStyleLbl="node2" presStyleIdx="0" presStyleCnt="2" custScaleY="79691">
        <dgm:presLayoutVars>
          <dgm:chPref val="3"/>
        </dgm:presLayoutVars>
      </dgm:prSet>
      <dgm:spPr/>
    </dgm:pt>
    <dgm:pt modelId="{2812677E-D607-4303-A72B-0659D3480A28}" type="pres">
      <dgm:prSet presAssocID="{D054F43A-8939-40D8-BDFA-F6F3CFED8B0F}" presName="rootConnector" presStyleLbl="node2" presStyleIdx="0" presStyleCnt="2"/>
      <dgm:spPr/>
    </dgm:pt>
    <dgm:pt modelId="{14032DEA-AAF9-4E85-8B3A-B477E95E2CF8}" type="pres">
      <dgm:prSet presAssocID="{D054F43A-8939-40D8-BDFA-F6F3CFED8B0F}" presName="hierChild4" presStyleCnt="0"/>
      <dgm:spPr/>
    </dgm:pt>
    <dgm:pt modelId="{9C6B2E4D-1827-4739-B866-5D73AD996AD0}" type="pres">
      <dgm:prSet presAssocID="{D054F43A-8939-40D8-BDFA-F6F3CFED8B0F}" presName="hierChild5" presStyleCnt="0"/>
      <dgm:spPr/>
    </dgm:pt>
    <dgm:pt modelId="{7A3D7C21-6DA6-4D8A-A1A3-92C89EBB006A}" type="pres">
      <dgm:prSet presAssocID="{D56C9975-F49F-45C4-BEE3-F8E9EF17BF3D}" presName="Name37" presStyleLbl="parChTrans1D2" presStyleIdx="1" presStyleCnt="2"/>
      <dgm:spPr/>
    </dgm:pt>
    <dgm:pt modelId="{C39F14B8-BD87-4F50-BBCC-2932BCA18E2C}" type="pres">
      <dgm:prSet presAssocID="{254638A9-F300-4EF0-B92A-471A14E0ECC0}" presName="hierRoot2" presStyleCnt="0">
        <dgm:presLayoutVars>
          <dgm:hierBranch val="init"/>
        </dgm:presLayoutVars>
      </dgm:prSet>
      <dgm:spPr/>
    </dgm:pt>
    <dgm:pt modelId="{B92576B3-2AC3-44EC-A373-B3D388612C80}" type="pres">
      <dgm:prSet presAssocID="{254638A9-F300-4EF0-B92A-471A14E0ECC0}" presName="rootComposite" presStyleCnt="0"/>
      <dgm:spPr/>
    </dgm:pt>
    <dgm:pt modelId="{EA421403-B583-4B55-8667-7B42B5691795}" type="pres">
      <dgm:prSet presAssocID="{254638A9-F300-4EF0-B92A-471A14E0ECC0}" presName="rootText" presStyleLbl="node2" presStyleIdx="1" presStyleCnt="2" custScaleY="79691">
        <dgm:presLayoutVars>
          <dgm:chPref val="3"/>
        </dgm:presLayoutVars>
      </dgm:prSet>
      <dgm:spPr/>
    </dgm:pt>
    <dgm:pt modelId="{5D261E34-5931-4015-97F6-B2B30913A933}" type="pres">
      <dgm:prSet presAssocID="{254638A9-F300-4EF0-B92A-471A14E0ECC0}" presName="rootConnector" presStyleLbl="node2" presStyleIdx="1" presStyleCnt="2"/>
      <dgm:spPr/>
    </dgm:pt>
    <dgm:pt modelId="{5BA6A2AF-3FAB-45C8-BEFE-13D207BF38CC}" type="pres">
      <dgm:prSet presAssocID="{254638A9-F300-4EF0-B92A-471A14E0ECC0}" presName="hierChild4" presStyleCnt="0"/>
      <dgm:spPr/>
    </dgm:pt>
    <dgm:pt modelId="{CD963E8A-D841-4EA2-9669-65EDE7DB407E}" type="pres">
      <dgm:prSet presAssocID="{254638A9-F300-4EF0-B92A-471A14E0ECC0}" presName="hierChild5" presStyleCnt="0"/>
      <dgm:spPr/>
    </dgm:pt>
    <dgm:pt modelId="{6451A225-4054-4725-B904-07666902C286}" type="pres">
      <dgm:prSet presAssocID="{96E9554F-CB16-431D-8300-ED78B5D82E5F}" presName="hierChild3" presStyleCnt="0"/>
      <dgm:spPr/>
    </dgm:pt>
  </dgm:ptLst>
  <dgm:cxnLst>
    <dgm:cxn modelId="{B6E2F903-934E-44C4-9F5B-684552319FBF}" type="presOf" srcId="{D56C9975-F49F-45C4-BEE3-F8E9EF17BF3D}" destId="{7A3D7C21-6DA6-4D8A-A1A3-92C89EBB006A}" srcOrd="0" destOrd="0" presId="urn:microsoft.com/office/officeart/2005/8/layout/orgChart1"/>
    <dgm:cxn modelId="{A3C93B09-B4F7-4903-872B-306701F01ECB}" type="presOf" srcId="{D054F43A-8939-40D8-BDFA-F6F3CFED8B0F}" destId="{2812677E-D607-4303-A72B-0659D3480A28}" srcOrd="1" destOrd="0" presId="urn:microsoft.com/office/officeart/2005/8/layout/orgChart1"/>
    <dgm:cxn modelId="{1DCEFC0E-C0D7-4183-99EF-D6FB5B483BB6}" type="presOf" srcId="{254638A9-F300-4EF0-B92A-471A14E0ECC0}" destId="{EA421403-B583-4B55-8667-7B42B5691795}" srcOrd="0" destOrd="0" presId="urn:microsoft.com/office/officeart/2005/8/layout/orgChart1"/>
    <dgm:cxn modelId="{B46D3932-8A22-40A7-8A03-63396A1E1581}" type="presOf" srcId="{D4332DA6-7D38-42B7-B3C7-01BBF2BA1DC1}" destId="{7E23CA65-5B79-40B8-B0FB-AAA2B28EA975}" srcOrd="0" destOrd="0" presId="urn:microsoft.com/office/officeart/2005/8/layout/orgChart1"/>
    <dgm:cxn modelId="{72C3F367-8FC3-46C3-A51D-44D5EA3ED26E}" type="presOf" srcId="{254638A9-F300-4EF0-B92A-471A14E0ECC0}" destId="{5D261E34-5931-4015-97F6-B2B30913A933}" srcOrd="1" destOrd="0" presId="urn:microsoft.com/office/officeart/2005/8/layout/orgChart1"/>
    <dgm:cxn modelId="{3C0A8C6D-B6CB-4CEA-AC23-D2259AC41335}" type="presOf" srcId="{D054F43A-8939-40D8-BDFA-F6F3CFED8B0F}" destId="{D791E717-1805-4E92-BD91-255FAF70844F}" srcOrd="0" destOrd="0" presId="urn:microsoft.com/office/officeart/2005/8/layout/orgChart1"/>
    <dgm:cxn modelId="{12CA0B73-03FC-497A-BF2D-5D0E5BBB445B}" type="presOf" srcId="{96E9554F-CB16-431D-8300-ED78B5D82E5F}" destId="{F419E6EA-AEEB-4B3A-B248-85B6A515D3DA}" srcOrd="0" destOrd="0" presId="urn:microsoft.com/office/officeart/2005/8/layout/orgChart1"/>
    <dgm:cxn modelId="{3B1D4581-5696-4E56-9FAE-CEE68CDF4DB3}" srcId="{96E9554F-CB16-431D-8300-ED78B5D82E5F}" destId="{254638A9-F300-4EF0-B92A-471A14E0ECC0}" srcOrd="1" destOrd="0" parTransId="{D56C9975-F49F-45C4-BEE3-F8E9EF17BF3D}" sibTransId="{8B8AAC70-E7D2-4E75-820C-07173544D8CA}"/>
    <dgm:cxn modelId="{FC7D8391-0B1D-4E2E-80F4-96A50E2F833E}" srcId="{D4332DA6-7D38-42B7-B3C7-01BBF2BA1DC1}" destId="{96E9554F-CB16-431D-8300-ED78B5D82E5F}" srcOrd="0" destOrd="0" parTransId="{246C3CE3-4F65-4F60-846A-990AB0F4C9AE}" sibTransId="{C07D3CE0-EE0A-4E75-900A-4E8CE85F0272}"/>
    <dgm:cxn modelId="{6382C5B5-B4A8-4D77-AD08-FF4B799A6952}" type="presOf" srcId="{C0E59A79-ADDC-44B2-9325-D299934E32A3}" destId="{F3C948AD-FBB8-4BC4-B479-34A44B641A04}" srcOrd="0" destOrd="0" presId="urn:microsoft.com/office/officeart/2005/8/layout/orgChart1"/>
    <dgm:cxn modelId="{4EC15BD4-1B4A-4E31-B757-02F3FDA097D2}" type="presOf" srcId="{96E9554F-CB16-431D-8300-ED78B5D82E5F}" destId="{8C35BB58-A32F-4304-8C36-11883BBDE89E}" srcOrd="1" destOrd="0" presId="urn:microsoft.com/office/officeart/2005/8/layout/orgChart1"/>
    <dgm:cxn modelId="{847947DB-3734-4D0F-B617-31AA531ABF38}" srcId="{96E9554F-CB16-431D-8300-ED78B5D82E5F}" destId="{D054F43A-8939-40D8-BDFA-F6F3CFED8B0F}" srcOrd="0" destOrd="0" parTransId="{C0E59A79-ADDC-44B2-9325-D299934E32A3}" sibTransId="{7E148500-B686-4FD7-9B53-2EA2F54FDAF6}"/>
    <dgm:cxn modelId="{34606880-0F7C-486E-A843-00F708D5E7C9}" type="presParOf" srcId="{7E23CA65-5B79-40B8-B0FB-AAA2B28EA975}" destId="{4086CC7C-926B-46C8-8C13-EE4DF35D8D27}" srcOrd="0" destOrd="0" presId="urn:microsoft.com/office/officeart/2005/8/layout/orgChart1"/>
    <dgm:cxn modelId="{2708610B-8234-4B17-8E84-65D1A5FE9D97}" type="presParOf" srcId="{4086CC7C-926B-46C8-8C13-EE4DF35D8D27}" destId="{F53344DA-9DED-435E-8A8B-97820ACEB5A8}" srcOrd="0" destOrd="0" presId="urn:microsoft.com/office/officeart/2005/8/layout/orgChart1"/>
    <dgm:cxn modelId="{A6931187-6478-4514-8D9B-453AEF51DEF4}" type="presParOf" srcId="{F53344DA-9DED-435E-8A8B-97820ACEB5A8}" destId="{F419E6EA-AEEB-4B3A-B248-85B6A515D3DA}" srcOrd="0" destOrd="0" presId="urn:microsoft.com/office/officeart/2005/8/layout/orgChart1"/>
    <dgm:cxn modelId="{A3AB3A66-A1F7-427C-92C9-5CAD4BEC569F}" type="presParOf" srcId="{F53344DA-9DED-435E-8A8B-97820ACEB5A8}" destId="{8C35BB58-A32F-4304-8C36-11883BBDE89E}" srcOrd="1" destOrd="0" presId="urn:microsoft.com/office/officeart/2005/8/layout/orgChart1"/>
    <dgm:cxn modelId="{32BC558B-8E98-42DC-8C70-282C9105BFD2}" type="presParOf" srcId="{4086CC7C-926B-46C8-8C13-EE4DF35D8D27}" destId="{51F176F4-73C7-4497-9991-669E06909AD8}" srcOrd="1" destOrd="0" presId="urn:microsoft.com/office/officeart/2005/8/layout/orgChart1"/>
    <dgm:cxn modelId="{AC1EE524-98D8-4A34-9FCD-C698855F98A8}" type="presParOf" srcId="{51F176F4-73C7-4497-9991-669E06909AD8}" destId="{F3C948AD-FBB8-4BC4-B479-34A44B641A04}" srcOrd="0" destOrd="0" presId="urn:microsoft.com/office/officeart/2005/8/layout/orgChart1"/>
    <dgm:cxn modelId="{B59DB341-CAE9-48BC-8497-90499419243C}" type="presParOf" srcId="{51F176F4-73C7-4497-9991-669E06909AD8}" destId="{1813A3ED-C8CD-4AA8-959A-944D3E754C18}" srcOrd="1" destOrd="0" presId="urn:microsoft.com/office/officeart/2005/8/layout/orgChart1"/>
    <dgm:cxn modelId="{9D7D44B9-ABF8-45BF-A0A8-A7BC540A0351}" type="presParOf" srcId="{1813A3ED-C8CD-4AA8-959A-944D3E754C18}" destId="{7F3346D9-783B-4051-8FDC-9524E2F92F2F}" srcOrd="0" destOrd="0" presId="urn:microsoft.com/office/officeart/2005/8/layout/orgChart1"/>
    <dgm:cxn modelId="{C6D70DB3-FEEB-4F12-93FD-CAF46F3DEC10}" type="presParOf" srcId="{7F3346D9-783B-4051-8FDC-9524E2F92F2F}" destId="{D791E717-1805-4E92-BD91-255FAF70844F}" srcOrd="0" destOrd="0" presId="urn:microsoft.com/office/officeart/2005/8/layout/orgChart1"/>
    <dgm:cxn modelId="{4B7CE74D-1422-4216-A2E3-B77C97C82138}" type="presParOf" srcId="{7F3346D9-783B-4051-8FDC-9524E2F92F2F}" destId="{2812677E-D607-4303-A72B-0659D3480A28}" srcOrd="1" destOrd="0" presId="urn:microsoft.com/office/officeart/2005/8/layout/orgChart1"/>
    <dgm:cxn modelId="{4A6AD41C-1EE4-4191-AC97-C6E7ECB9B6DC}" type="presParOf" srcId="{1813A3ED-C8CD-4AA8-959A-944D3E754C18}" destId="{14032DEA-AAF9-4E85-8B3A-B477E95E2CF8}" srcOrd="1" destOrd="0" presId="urn:microsoft.com/office/officeart/2005/8/layout/orgChart1"/>
    <dgm:cxn modelId="{C8218EB4-B750-48B9-A7C0-D5761E3DAF14}" type="presParOf" srcId="{1813A3ED-C8CD-4AA8-959A-944D3E754C18}" destId="{9C6B2E4D-1827-4739-B866-5D73AD996AD0}" srcOrd="2" destOrd="0" presId="urn:microsoft.com/office/officeart/2005/8/layout/orgChart1"/>
    <dgm:cxn modelId="{AEDAA294-ABB6-484A-ABF6-BA32130B8098}" type="presParOf" srcId="{51F176F4-73C7-4497-9991-669E06909AD8}" destId="{7A3D7C21-6DA6-4D8A-A1A3-92C89EBB006A}" srcOrd="2" destOrd="0" presId="urn:microsoft.com/office/officeart/2005/8/layout/orgChart1"/>
    <dgm:cxn modelId="{A71E340A-AFF3-49CC-9F0D-AE8BE66A4CDB}" type="presParOf" srcId="{51F176F4-73C7-4497-9991-669E06909AD8}" destId="{C39F14B8-BD87-4F50-BBCC-2932BCA18E2C}" srcOrd="3" destOrd="0" presId="urn:microsoft.com/office/officeart/2005/8/layout/orgChart1"/>
    <dgm:cxn modelId="{87B064AC-52E1-4186-9300-23FED04F556C}" type="presParOf" srcId="{C39F14B8-BD87-4F50-BBCC-2932BCA18E2C}" destId="{B92576B3-2AC3-44EC-A373-B3D388612C80}" srcOrd="0" destOrd="0" presId="urn:microsoft.com/office/officeart/2005/8/layout/orgChart1"/>
    <dgm:cxn modelId="{DAAFCA45-31A8-4889-B797-ECB34D7BB668}" type="presParOf" srcId="{B92576B3-2AC3-44EC-A373-B3D388612C80}" destId="{EA421403-B583-4B55-8667-7B42B5691795}" srcOrd="0" destOrd="0" presId="urn:microsoft.com/office/officeart/2005/8/layout/orgChart1"/>
    <dgm:cxn modelId="{DC984A2E-B0F5-4B40-A664-8F7ECE5AE5E6}" type="presParOf" srcId="{B92576B3-2AC3-44EC-A373-B3D388612C80}" destId="{5D261E34-5931-4015-97F6-B2B30913A933}" srcOrd="1" destOrd="0" presId="urn:microsoft.com/office/officeart/2005/8/layout/orgChart1"/>
    <dgm:cxn modelId="{2275335F-2A5B-4570-B9E8-F294C97C3B29}" type="presParOf" srcId="{C39F14B8-BD87-4F50-BBCC-2932BCA18E2C}" destId="{5BA6A2AF-3FAB-45C8-BEFE-13D207BF38CC}" srcOrd="1" destOrd="0" presId="urn:microsoft.com/office/officeart/2005/8/layout/orgChart1"/>
    <dgm:cxn modelId="{246F2F7F-FD91-4FC5-829A-696F50947A9E}" type="presParOf" srcId="{C39F14B8-BD87-4F50-BBCC-2932BCA18E2C}" destId="{CD963E8A-D841-4EA2-9669-65EDE7DB407E}" srcOrd="2" destOrd="0" presId="urn:microsoft.com/office/officeart/2005/8/layout/orgChart1"/>
    <dgm:cxn modelId="{6FCF0FDA-C2F2-4A48-B270-374E5C8BD844}" type="presParOf" srcId="{4086CC7C-926B-46C8-8C13-EE4DF35D8D27}" destId="{6451A225-4054-4725-B904-07666902C28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3D7C21-6DA6-4D8A-A1A3-92C89EBB006A}">
      <dsp:nvSpPr>
        <dsp:cNvPr id="0" name=""/>
        <dsp:cNvSpPr/>
      </dsp:nvSpPr>
      <dsp:spPr>
        <a:xfrm>
          <a:off x="2743200" y="1218185"/>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948AD-FBB8-4BC4-B479-34A44B641A04}">
      <dsp:nvSpPr>
        <dsp:cNvPr id="0" name=""/>
        <dsp:cNvSpPr/>
      </dsp:nvSpPr>
      <dsp:spPr>
        <a:xfrm>
          <a:off x="1241991" y="1218185"/>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19E6EA-AEEB-4B3A-B248-85B6A515D3DA}">
      <dsp:nvSpPr>
        <dsp:cNvPr id="0" name=""/>
        <dsp:cNvSpPr/>
      </dsp:nvSpPr>
      <dsp:spPr>
        <a:xfrm>
          <a:off x="1502531" y="472432"/>
          <a:ext cx="2481336" cy="745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Erfolgsrechnung</a:t>
          </a:r>
        </a:p>
        <a:p>
          <a:pPr marL="0" lvl="0" indent="0" algn="ctr" defTabSz="622300">
            <a:lnSpc>
              <a:spcPct val="90000"/>
            </a:lnSpc>
            <a:spcBef>
              <a:spcPct val="0"/>
            </a:spcBef>
            <a:spcAft>
              <a:spcPct val="35000"/>
            </a:spcAft>
            <a:buNone/>
          </a:pPr>
          <a:r>
            <a:rPr lang="de-DE" sz="800" kern="1200"/>
            <a:t>Gegenüberstellung von Aufwand und Ertrag innerhalb eines Zeitraumes (meistens 1 Jahr)</a:t>
          </a:r>
        </a:p>
      </dsp:txBody>
      <dsp:txXfrm>
        <a:off x="1502531" y="472432"/>
        <a:ext cx="2481336" cy="745753"/>
      </dsp:txXfrm>
    </dsp:sp>
    <dsp:sp modelId="{D791E717-1805-4E92-BD91-255FAF70844F}">
      <dsp:nvSpPr>
        <dsp:cNvPr id="0" name=""/>
        <dsp:cNvSpPr/>
      </dsp:nvSpPr>
      <dsp:spPr>
        <a:xfrm>
          <a:off x="1322" y="1739266"/>
          <a:ext cx="2481336" cy="98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b="1" kern="1200"/>
            <a:t>Aufwand</a:t>
          </a:r>
        </a:p>
        <a:p>
          <a:pPr marL="0" lvl="0" indent="0" algn="l" defTabSz="533400">
            <a:lnSpc>
              <a:spcPct val="90000"/>
            </a:lnSpc>
            <a:spcBef>
              <a:spcPct val="0"/>
            </a:spcBef>
            <a:spcAft>
              <a:spcPct val="35000"/>
            </a:spcAft>
            <a:buNone/>
          </a:pPr>
          <a:r>
            <a:rPr lang="de-DE" sz="800" kern="1200"/>
            <a:t>Für die Produktion von Gütern und Dienstleistungen werden Arbeitskräfte und Vermögenswerte eingesetzt sowie Dienstleistungen anderer beansprucht. Dieser Wertverzehr wird in der Buchhaltung als Aufwand bezeichnet. </a:t>
          </a:r>
          <a:r>
            <a:rPr lang="de-DE" sz="1000" kern="1200"/>
            <a:t>		</a:t>
          </a:r>
        </a:p>
      </dsp:txBody>
      <dsp:txXfrm>
        <a:off x="1322" y="1739266"/>
        <a:ext cx="2481336" cy="988701"/>
      </dsp:txXfrm>
    </dsp:sp>
    <dsp:sp modelId="{EA421403-B583-4B55-8667-7B42B5691795}">
      <dsp:nvSpPr>
        <dsp:cNvPr id="0" name=""/>
        <dsp:cNvSpPr/>
      </dsp:nvSpPr>
      <dsp:spPr>
        <a:xfrm>
          <a:off x="3003740" y="1739266"/>
          <a:ext cx="2481336" cy="98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b="1" kern="1200"/>
            <a:t>Ertrag</a:t>
          </a:r>
        </a:p>
        <a:p>
          <a:pPr marL="0" lvl="0" indent="0" algn="l" defTabSz="533400">
            <a:lnSpc>
              <a:spcPct val="90000"/>
            </a:lnSpc>
            <a:spcBef>
              <a:spcPct val="0"/>
            </a:spcBef>
            <a:spcAft>
              <a:spcPct val="35000"/>
            </a:spcAft>
            <a:buNone/>
          </a:pPr>
          <a:r>
            <a:rPr lang="de-CH" sz="800" kern="1200"/>
            <a:t>Einnahmen aus  betrieblichen und nichtbetrieblichen Leistungen.</a:t>
          </a:r>
        </a:p>
        <a:p>
          <a:pPr marL="0" lvl="0" indent="0" algn="l" defTabSz="533400">
            <a:lnSpc>
              <a:spcPct val="90000"/>
            </a:lnSpc>
            <a:spcBef>
              <a:spcPct val="0"/>
            </a:spcBef>
            <a:spcAft>
              <a:spcPct val="35000"/>
            </a:spcAft>
            <a:buNone/>
          </a:pPr>
          <a:r>
            <a:rPr lang="de-CH" sz="800" kern="1200"/>
            <a:t>Durch den Verkauf von Gütern und Dienstleistungen entsteht ein Wertzuwachs, der in der Buchhaltung als Ertrag bezeichnet wird. </a:t>
          </a:r>
          <a:endParaRPr lang="de-DE" sz="800" kern="1200"/>
        </a:p>
      </dsp:txBody>
      <dsp:txXfrm>
        <a:off x="3003740" y="1739266"/>
        <a:ext cx="2481336" cy="9887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3D7C21-6DA6-4D8A-A1A3-92C89EBB006A}">
      <dsp:nvSpPr>
        <dsp:cNvPr id="0" name=""/>
        <dsp:cNvSpPr/>
      </dsp:nvSpPr>
      <dsp:spPr>
        <a:xfrm>
          <a:off x="2743200" y="1218185"/>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F3C948AD-FBB8-4BC4-B479-34A44B641A04}">
      <dsp:nvSpPr>
        <dsp:cNvPr id="0" name=""/>
        <dsp:cNvSpPr/>
      </dsp:nvSpPr>
      <dsp:spPr>
        <a:xfrm>
          <a:off x="1241991" y="1218185"/>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F419E6EA-AEEB-4B3A-B248-85B6A515D3DA}">
      <dsp:nvSpPr>
        <dsp:cNvPr id="0" name=""/>
        <dsp:cNvSpPr/>
      </dsp:nvSpPr>
      <dsp:spPr>
        <a:xfrm>
          <a:off x="1502531" y="472432"/>
          <a:ext cx="2481336" cy="745753"/>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solidFill>
                <a:schemeClr val="bg1"/>
              </a:solidFill>
            </a:rPr>
            <a:t>Bilanz</a:t>
          </a:r>
        </a:p>
        <a:p>
          <a:pPr marL="0" lvl="0" indent="0" algn="ctr" defTabSz="622300">
            <a:lnSpc>
              <a:spcPct val="90000"/>
            </a:lnSpc>
            <a:spcBef>
              <a:spcPct val="0"/>
            </a:spcBef>
            <a:spcAft>
              <a:spcPct val="35000"/>
            </a:spcAft>
            <a:buNone/>
          </a:pPr>
          <a:r>
            <a:rPr lang="de-DE" sz="800" kern="1200">
              <a:solidFill>
                <a:schemeClr val="bg1"/>
              </a:solidFill>
            </a:rPr>
            <a:t>Gegenüberstellung von Aktiven und Passiven zu einem bestimmten Zeitpunkt</a:t>
          </a:r>
        </a:p>
      </dsp:txBody>
      <dsp:txXfrm>
        <a:off x="1502531" y="472432"/>
        <a:ext cx="2481336" cy="745753"/>
      </dsp:txXfrm>
    </dsp:sp>
    <dsp:sp modelId="{D791E717-1805-4E92-BD91-255FAF70844F}">
      <dsp:nvSpPr>
        <dsp:cNvPr id="0" name=""/>
        <dsp:cNvSpPr/>
      </dsp:nvSpPr>
      <dsp:spPr>
        <a:xfrm>
          <a:off x="1322" y="1739266"/>
          <a:ext cx="2481336" cy="988701"/>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b="1" kern="1200">
              <a:solidFill>
                <a:schemeClr val="bg1"/>
              </a:solidFill>
            </a:rPr>
            <a:t>Aktiven (Vermögen)</a:t>
          </a:r>
        </a:p>
        <a:p>
          <a:pPr marL="0" lvl="0" indent="0" algn="l" defTabSz="533400">
            <a:lnSpc>
              <a:spcPct val="90000"/>
            </a:lnSpc>
            <a:spcBef>
              <a:spcPct val="0"/>
            </a:spcBef>
            <a:spcAft>
              <a:spcPct val="35000"/>
            </a:spcAft>
            <a:buNone/>
          </a:pPr>
          <a:r>
            <a:rPr lang="de-DE" sz="800" kern="1200">
              <a:solidFill>
                <a:schemeClr val="bg1"/>
              </a:solidFill>
            </a:rPr>
            <a:t>Die Aktivseite gibt Auskunft darüber, WIE das verfügbare Kapital angelegt wurde. </a:t>
          </a:r>
          <a:r>
            <a:rPr lang="de-DE" sz="1000" kern="1200">
              <a:solidFill>
                <a:schemeClr val="bg1"/>
              </a:solidFill>
            </a:rPr>
            <a:t>	</a:t>
          </a:r>
        </a:p>
      </dsp:txBody>
      <dsp:txXfrm>
        <a:off x="1322" y="1739266"/>
        <a:ext cx="2481336" cy="988701"/>
      </dsp:txXfrm>
    </dsp:sp>
    <dsp:sp modelId="{EA421403-B583-4B55-8667-7B42B5691795}">
      <dsp:nvSpPr>
        <dsp:cNvPr id="0" name=""/>
        <dsp:cNvSpPr/>
      </dsp:nvSpPr>
      <dsp:spPr>
        <a:xfrm>
          <a:off x="3003740" y="1739266"/>
          <a:ext cx="2481336" cy="988701"/>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b="1" kern="1200">
              <a:solidFill>
                <a:schemeClr val="bg1"/>
              </a:solidFill>
            </a:rPr>
            <a:t>Passiven (Kapital)</a:t>
          </a:r>
        </a:p>
        <a:p>
          <a:pPr marL="0" lvl="0" indent="0" algn="l" defTabSz="533400">
            <a:lnSpc>
              <a:spcPct val="90000"/>
            </a:lnSpc>
            <a:spcBef>
              <a:spcPct val="0"/>
            </a:spcBef>
            <a:spcAft>
              <a:spcPct val="35000"/>
            </a:spcAft>
            <a:buNone/>
          </a:pPr>
          <a:r>
            <a:rPr lang="de-CH" sz="800" kern="1200">
              <a:solidFill>
                <a:schemeClr val="bg1"/>
              </a:solidFill>
            </a:rPr>
            <a:t>Die Passivseite zeigt, WER der Unternehmung Kapital zur Verfügung gestellt hat. </a:t>
          </a:r>
          <a:endParaRPr lang="de-DE" sz="800" kern="1200">
            <a:solidFill>
              <a:schemeClr val="bg1"/>
            </a:solidFill>
          </a:endParaRPr>
        </a:p>
      </dsp:txBody>
      <dsp:txXfrm>
        <a:off x="3003740" y="1739266"/>
        <a:ext cx="2481336" cy="9887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C01A6-6666-447C-86F0-5C0C963AC3C6}">
  <we:reference id="wa103053905" version="1.3.1.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5</Pages>
  <Words>486</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Sonja Amstutz</cp:lastModifiedBy>
  <cp:revision>34</cp:revision>
  <dcterms:created xsi:type="dcterms:W3CDTF">2017-09-02T14:27:00Z</dcterms:created>
  <dcterms:modified xsi:type="dcterms:W3CDTF">2017-09-13T07:07:00Z</dcterms:modified>
</cp:coreProperties>
</file>