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82A" w:rsidRDefault="000129A0">
      <w:pPr>
        <w:rPr>
          <w:color w:val="2F5496" w:themeColor="accent1" w:themeShade="BF"/>
          <w:sz w:val="40"/>
          <w:szCs w:val="40"/>
        </w:rPr>
      </w:pPr>
      <w:r w:rsidRPr="000129A0">
        <w:rPr>
          <w:color w:val="2F5496" w:themeColor="accent1" w:themeShade="BF"/>
          <w:sz w:val="40"/>
          <w:szCs w:val="40"/>
        </w:rPr>
        <w:t>Einführung Recht</w:t>
      </w:r>
    </w:p>
    <w:p w:rsidR="00D77B4E" w:rsidRDefault="00D77B4E" w:rsidP="00951B3C">
      <w:pPr>
        <w:spacing w:after="0" w:line="240" w:lineRule="auto"/>
        <w:rPr>
          <w:sz w:val="24"/>
          <w:szCs w:val="24"/>
        </w:rPr>
      </w:pPr>
      <w:r w:rsidRPr="00D77B4E">
        <w:rPr>
          <w:sz w:val="24"/>
          <w:szCs w:val="24"/>
        </w:rPr>
        <w:t xml:space="preserve">Sie lösen als Gruppenarbeit einer der Fälle mit Hilfe des Gesetzbuches. </w:t>
      </w:r>
      <w:r>
        <w:rPr>
          <w:sz w:val="24"/>
          <w:szCs w:val="24"/>
        </w:rPr>
        <w:t xml:space="preserve">Überlegen sie sich zuerst, welche Stichworte für den Fall relevant sein könnten und suchen Sie anschliessend im Stichwortverzeichnis den/die entsprechenden Artikel. </w:t>
      </w:r>
      <w:r w:rsidR="00E91D27">
        <w:rPr>
          <w:sz w:val="24"/>
          <w:szCs w:val="24"/>
        </w:rPr>
        <w:t xml:space="preserve">In der kommenden Woche werden Sie ihre Falllösung der Klasse präsentieren. </w:t>
      </w:r>
    </w:p>
    <w:p w:rsidR="00BB4196" w:rsidRDefault="00BB4196" w:rsidP="00951B3C">
      <w:pPr>
        <w:spacing w:after="0" w:line="240" w:lineRule="auto"/>
        <w:rPr>
          <w:sz w:val="24"/>
          <w:szCs w:val="24"/>
        </w:rPr>
      </w:pPr>
      <w:r>
        <w:rPr>
          <w:sz w:val="24"/>
          <w:szCs w:val="24"/>
        </w:rPr>
        <w:t xml:space="preserve">Abgabe des Dokuments auf </w:t>
      </w:r>
      <w:proofErr w:type="spellStart"/>
      <w:r>
        <w:rPr>
          <w:sz w:val="24"/>
          <w:szCs w:val="24"/>
        </w:rPr>
        <w:t>moodle</w:t>
      </w:r>
      <w:proofErr w:type="spellEnd"/>
      <w:r>
        <w:rPr>
          <w:sz w:val="24"/>
          <w:szCs w:val="24"/>
        </w:rPr>
        <w:t xml:space="preserve"> bis spätestens am Montagabend</w:t>
      </w:r>
      <w:r w:rsidR="00B1359F">
        <w:rPr>
          <w:sz w:val="24"/>
          <w:szCs w:val="24"/>
        </w:rPr>
        <w:t xml:space="preserve"> 23. Oktober 2017</w:t>
      </w:r>
      <w:r>
        <w:rPr>
          <w:sz w:val="24"/>
          <w:szCs w:val="24"/>
        </w:rPr>
        <w:t xml:space="preserve"> 23 Uhr. </w:t>
      </w:r>
    </w:p>
    <w:p w:rsidR="00951B3C" w:rsidRDefault="00951B3C" w:rsidP="00951B3C">
      <w:pPr>
        <w:spacing w:after="0" w:line="240" w:lineRule="auto"/>
        <w:rPr>
          <w:sz w:val="24"/>
          <w:szCs w:val="24"/>
        </w:rPr>
      </w:pPr>
      <w:r>
        <w:rPr>
          <w:sz w:val="24"/>
          <w:szCs w:val="24"/>
        </w:rPr>
        <w:t xml:space="preserve">Der Gruppenname und die Fallnummer muss zwingend im Dokumentenname enthalten sein. </w:t>
      </w:r>
    </w:p>
    <w:p w:rsidR="00951B3C" w:rsidRPr="00D77B4E" w:rsidRDefault="00951B3C" w:rsidP="00951B3C">
      <w:pPr>
        <w:spacing w:after="0" w:line="240" w:lineRule="auto"/>
        <w:rPr>
          <w:sz w:val="24"/>
          <w:szCs w:val="24"/>
        </w:rPr>
      </w:pPr>
    </w:p>
    <w:p w:rsidR="00CE68A3" w:rsidRDefault="00CE68A3" w:rsidP="00085D0A">
      <w:pPr>
        <w:spacing w:after="0" w:line="240" w:lineRule="auto"/>
        <w:rPr>
          <w:color w:val="2F5496" w:themeColor="accent1" w:themeShade="BF"/>
          <w:sz w:val="40"/>
          <w:szCs w:val="40"/>
        </w:rPr>
      </w:pPr>
      <w:r>
        <w:rPr>
          <w:color w:val="2F5496" w:themeColor="accent1" w:themeShade="BF"/>
          <w:sz w:val="40"/>
          <w:szCs w:val="40"/>
        </w:rPr>
        <w:t xml:space="preserve">Fall 1: </w:t>
      </w:r>
    </w:p>
    <w:p w:rsidR="00461DB3" w:rsidRPr="00235E30" w:rsidRDefault="00461DB3" w:rsidP="00085D0A">
      <w:pPr>
        <w:spacing w:after="0" w:line="240" w:lineRule="auto"/>
        <w:jc w:val="both"/>
      </w:pPr>
      <w:r w:rsidRPr="00235E30">
        <w:t xml:space="preserve">Jonas ist ein dreijähriger Knabe und macht im Moment nichts lieber als seinen Vater nachzuahmen. Dieser ist Pfeifenraucher. In einem günstigen Moment gelingt es Jonas, das Pfeifenetui seines Vaters an sich zu nehmen und damit im Keller des Mehrfamilienhauses zu verschwinden. Dort versucht er die Pfeife zum Brennen zu bringen. Leider brennt am Schluss der Keller. </w:t>
      </w:r>
    </w:p>
    <w:p w:rsidR="007D3999" w:rsidRDefault="00461DB3" w:rsidP="00461DB3">
      <w:pPr>
        <w:jc w:val="both"/>
      </w:pPr>
      <w:r w:rsidRPr="00235E30">
        <w:t xml:space="preserve">Kann Jonas für seine Tat zur Rechenschaft gezogen werden? </w:t>
      </w:r>
    </w:p>
    <w:tbl>
      <w:tblPr>
        <w:tblStyle w:val="Tabellenraster"/>
        <w:tblW w:w="0" w:type="auto"/>
        <w:tblLook w:val="04A0" w:firstRow="1" w:lastRow="0" w:firstColumn="1" w:lastColumn="0" w:noHBand="0" w:noVBand="1"/>
      </w:tblPr>
      <w:tblGrid>
        <w:gridCol w:w="9628"/>
      </w:tblGrid>
      <w:tr w:rsidR="00E42462" w:rsidTr="007D3999">
        <w:tc>
          <w:tcPr>
            <w:tcW w:w="9628" w:type="dxa"/>
          </w:tcPr>
          <w:p w:rsidR="00E42462" w:rsidRDefault="00E42462" w:rsidP="00E42462">
            <w:pPr>
              <w:jc w:val="both"/>
              <w:rPr>
                <w:b/>
              </w:rPr>
            </w:pPr>
            <w:r>
              <w:rPr>
                <w:b/>
              </w:rPr>
              <w:t xml:space="preserve">Stichworte: </w:t>
            </w:r>
          </w:p>
          <w:p w:rsidR="00E42462" w:rsidRPr="00085D0A" w:rsidRDefault="00E42462" w:rsidP="00E42462">
            <w:pPr>
              <w:jc w:val="both"/>
              <w:rPr>
                <w:color w:val="FF0000"/>
              </w:rPr>
            </w:pPr>
          </w:p>
        </w:tc>
      </w:tr>
      <w:tr w:rsidR="00E42462" w:rsidTr="007D3999">
        <w:tc>
          <w:tcPr>
            <w:tcW w:w="9628" w:type="dxa"/>
          </w:tcPr>
          <w:p w:rsidR="00E42462" w:rsidRPr="009222D0" w:rsidRDefault="00E42462" w:rsidP="00E42462">
            <w:pPr>
              <w:pStyle w:val="KeinLeerraum"/>
              <w:rPr>
                <w:b/>
                <w:color w:val="FF0000"/>
              </w:rPr>
            </w:pPr>
            <w:r>
              <w:rPr>
                <w:b/>
              </w:rPr>
              <w:t xml:space="preserve">Gesetzbuch: </w:t>
            </w:r>
          </w:p>
          <w:p w:rsidR="00E42462" w:rsidRPr="009222D0" w:rsidRDefault="00E42462" w:rsidP="00E42462">
            <w:pPr>
              <w:pStyle w:val="KeinLeerraum"/>
              <w:rPr>
                <w:b/>
                <w:color w:val="FF0000"/>
              </w:rPr>
            </w:pPr>
          </w:p>
          <w:p w:rsidR="00E42462" w:rsidRPr="0089755D" w:rsidRDefault="00E42462" w:rsidP="00E42462">
            <w:pPr>
              <w:pStyle w:val="KeinLeerraum"/>
              <w:rPr>
                <w:b/>
              </w:rPr>
            </w:pPr>
            <w:r w:rsidRPr="0089755D">
              <w:rPr>
                <w:b/>
              </w:rPr>
              <w:t>Relevante Gesetzesartikel:</w:t>
            </w:r>
          </w:p>
          <w:p w:rsidR="00E42462" w:rsidRDefault="00E42462" w:rsidP="00E42462">
            <w:pPr>
              <w:pStyle w:val="KeinLeerraum"/>
            </w:pPr>
          </w:p>
          <w:p w:rsidR="00E42462" w:rsidRPr="004640DF" w:rsidRDefault="00E42462" w:rsidP="00E42462">
            <w:pPr>
              <w:pStyle w:val="KeinLeerraum"/>
            </w:pPr>
          </w:p>
        </w:tc>
      </w:tr>
      <w:tr w:rsidR="00E42462" w:rsidTr="007D3999">
        <w:tc>
          <w:tcPr>
            <w:tcW w:w="9628" w:type="dxa"/>
          </w:tcPr>
          <w:p w:rsidR="00E42462" w:rsidRPr="007D3999" w:rsidRDefault="00E42462" w:rsidP="00E42462">
            <w:pPr>
              <w:jc w:val="both"/>
              <w:rPr>
                <w:b/>
              </w:rPr>
            </w:pPr>
            <w:r w:rsidRPr="007D3999">
              <w:rPr>
                <w:b/>
              </w:rPr>
              <w:t xml:space="preserve">Argumente des Klägers (Besitzer des Mehrfamilienhauses bzw. dessen Versicherung): </w:t>
            </w:r>
          </w:p>
          <w:p w:rsidR="00E42462" w:rsidRDefault="00E42462" w:rsidP="00E42462">
            <w:pPr>
              <w:jc w:val="both"/>
            </w:pPr>
          </w:p>
        </w:tc>
      </w:tr>
      <w:tr w:rsidR="00E42462" w:rsidTr="007D3999">
        <w:tc>
          <w:tcPr>
            <w:tcW w:w="9628" w:type="dxa"/>
          </w:tcPr>
          <w:p w:rsidR="00E42462" w:rsidRDefault="00E42462" w:rsidP="00E42462">
            <w:pPr>
              <w:jc w:val="both"/>
              <w:rPr>
                <w:b/>
              </w:rPr>
            </w:pPr>
            <w:r w:rsidRPr="007D3999">
              <w:rPr>
                <w:b/>
              </w:rPr>
              <w:t xml:space="preserve">Argumente </w:t>
            </w:r>
            <w:r>
              <w:rPr>
                <w:b/>
              </w:rPr>
              <w:t>Beklagter (Jonas bzw. seine Eltern)</w:t>
            </w:r>
          </w:p>
          <w:p w:rsidR="00E42462" w:rsidRPr="00E91D27" w:rsidRDefault="00E42462" w:rsidP="00E42462">
            <w:pPr>
              <w:jc w:val="both"/>
              <w:rPr>
                <w:color w:val="FF0000"/>
              </w:rPr>
            </w:pPr>
          </w:p>
        </w:tc>
      </w:tr>
      <w:tr w:rsidR="00E42462" w:rsidTr="007D3999">
        <w:tc>
          <w:tcPr>
            <w:tcW w:w="9628" w:type="dxa"/>
          </w:tcPr>
          <w:p w:rsidR="00E42462" w:rsidRDefault="00E42462" w:rsidP="00E42462">
            <w:pPr>
              <w:jc w:val="both"/>
              <w:rPr>
                <w:b/>
              </w:rPr>
            </w:pPr>
            <w:r w:rsidRPr="007D3999">
              <w:rPr>
                <w:b/>
              </w:rPr>
              <w:t>Fazit</w:t>
            </w:r>
            <w:r>
              <w:rPr>
                <w:b/>
              </w:rPr>
              <w:t xml:space="preserve"> («Urteil»/Rechtsfolge)</w:t>
            </w:r>
            <w:r w:rsidRPr="007D3999">
              <w:rPr>
                <w:b/>
              </w:rPr>
              <w:t xml:space="preserve">: </w:t>
            </w:r>
          </w:p>
          <w:p w:rsidR="00E42462" w:rsidRDefault="00E42462" w:rsidP="00E42462">
            <w:pPr>
              <w:jc w:val="both"/>
              <w:rPr>
                <w:color w:val="FF0000"/>
              </w:rPr>
            </w:pPr>
          </w:p>
          <w:p w:rsidR="00E42462" w:rsidRDefault="00E42462" w:rsidP="00E42462">
            <w:pPr>
              <w:jc w:val="both"/>
            </w:pPr>
          </w:p>
        </w:tc>
      </w:tr>
    </w:tbl>
    <w:p w:rsidR="009F3F90" w:rsidRDefault="009F3F90" w:rsidP="00461DB3">
      <w:pPr>
        <w:jc w:val="both"/>
      </w:pPr>
    </w:p>
    <w:p w:rsidR="009F3F90" w:rsidRDefault="009F3F90">
      <w:pPr>
        <w:spacing w:after="160" w:line="259" w:lineRule="auto"/>
      </w:pPr>
      <w:r>
        <w:br w:type="page"/>
      </w:r>
    </w:p>
    <w:p w:rsidR="007D3999" w:rsidRDefault="007D3999" w:rsidP="00461DB3">
      <w:pPr>
        <w:jc w:val="both"/>
      </w:pPr>
    </w:p>
    <w:p w:rsidR="00682298" w:rsidRDefault="00682298" w:rsidP="00682298">
      <w:pPr>
        <w:spacing w:after="0" w:line="240" w:lineRule="auto"/>
        <w:rPr>
          <w:color w:val="2F5496" w:themeColor="accent1" w:themeShade="BF"/>
          <w:sz w:val="40"/>
          <w:szCs w:val="40"/>
        </w:rPr>
      </w:pPr>
      <w:r>
        <w:rPr>
          <w:color w:val="2F5496" w:themeColor="accent1" w:themeShade="BF"/>
          <w:sz w:val="40"/>
          <w:szCs w:val="40"/>
        </w:rPr>
        <w:t xml:space="preserve">Fall 2: </w:t>
      </w:r>
    </w:p>
    <w:p w:rsidR="00682298" w:rsidRDefault="00625B74" w:rsidP="00682298">
      <w:pPr>
        <w:jc w:val="both"/>
      </w:pPr>
      <w:r>
        <w:t xml:space="preserve">Herr </w:t>
      </w:r>
      <w:proofErr w:type="spellStart"/>
      <w:r>
        <w:t>Rölli</w:t>
      </w:r>
      <w:proofErr w:type="spellEnd"/>
      <w:r>
        <w:t xml:space="preserve"> kauft beim Teppichhändler Schwager einen Perserteppich, den Herr Schwager </w:t>
      </w:r>
      <w:r w:rsidR="00434D4A">
        <w:t xml:space="preserve">(trotz besserem Wissen) </w:t>
      </w:r>
      <w:r>
        <w:t xml:space="preserve">als «echten Perserteppich» bezeichnet. </w:t>
      </w:r>
      <w:r w:rsidR="00434D4A">
        <w:t xml:space="preserve">Drei Wochen später zeigt Herr </w:t>
      </w:r>
      <w:proofErr w:type="spellStart"/>
      <w:r w:rsidR="00434D4A">
        <w:t>Rölli</w:t>
      </w:r>
      <w:proofErr w:type="spellEnd"/>
      <w:r w:rsidR="00434D4A">
        <w:t xml:space="preserve"> b</w:t>
      </w:r>
      <w:r>
        <w:t xml:space="preserve">ei einem Abendessen mit Freunden stolz seine Neuerwerbung. Ein Freund, der beruflich etwas von Teppichen versteht, macht ihn darauf aufmerksam, dass es sich hierbei nur um eine Imitation handelt. Herr </w:t>
      </w:r>
      <w:proofErr w:type="spellStart"/>
      <w:r>
        <w:t>Rölli</w:t>
      </w:r>
      <w:proofErr w:type="spellEnd"/>
      <w:r w:rsidR="00434D4A">
        <w:t xml:space="preserve"> will den Teppich sofort zurück</w:t>
      </w:r>
      <w:r>
        <w:t xml:space="preserve">geben. Herr Schwager hält am Kaufvertrag fest. Herr </w:t>
      </w:r>
      <w:proofErr w:type="spellStart"/>
      <w:r>
        <w:t>Rölli</w:t>
      </w:r>
      <w:proofErr w:type="spellEnd"/>
      <w:r>
        <w:t xml:space="preserve"> ficht den Vertrag an. Auf die Frage des Richters, warum er den Teppich gekauft habe, antwortet Herr </w:t>
      </w:r>
      <w:proofErr w:type="spellStart"/>
      <w:r>
        <w:t>Rölli</w:t>
      </w:r>
      <w:proofErr w:type="spellEnd"/>
      <w:r>
        <w:t xml:space="preserve">:»Weil ich mir schon lange einen echten Perserteppich gewünscht habe». </w:t>
      </w:r>
    </w:p>
    <w:tbl>
      <w:tblPr>
        <w:tblStyle w:val="Tabellenraster"/>
        <w:tblW w:w="0" w:type="auto"/>
        <w:tblLook w:val="04A0" w:firstRow="1" w:lastRow="0" w:firstColumn="1" w:lastColumn="0" w:noHBand="0" w:noVBand="1"/>
      </w:tblPr>
      <w:tblGrid>
        <w:gridCol w:w="9628"/>
      </w:tblGrid>
      <w:tr w:rsidR="00682298" w:rsidTr="00CE7449">
        <w:tc>
          <w:tcPr>
            <w:tcW w:w="9628" w:type="dxa"/>
          </w:tcPr>
          <w:p w:rsidR="00682298" w:rsidRDefault="00682298" w:rsidP="00CE7449">
            <w:pPr>
              <w:jc w:val="both"/>
              <w:rPr>
                <w:b/>
              </w:rPr>
            </w:pPr>
            <w:r>
              <w:rPr>
                <w:b/>
              </w:rPr>
              <w:t xml:space="preserve">Stichworte: </w:t>
            </w:r>
            <w:r w:rsidR="008609E1">
              <w:rPr>
                <w:b/>
              </w:rPr>
              <w:t>Täuschung</w:t>
            </w:r>
          </w:p>
          <w:p w:rsidR="00682298" w:rsidRPr="00085D0A" w:rsidRDefault="008609E1" w:rsidP="00CE7449">
            <w:pPr>
              <w:jc w:val="both"/>
              <w:rPr>
                <w:color w:val="FF0000"/>
              </w:rPr>
            </w:pPr>
            <w:r>
              <w:rPr>
                <w:color w:val="FF0000"/>
              </w:rPr>
              <w:t xml:space="preserve">Täuschung, Kaufvertrag, Betrug, </w:t>
            </w:r>
          </w:p>
        </w:tc>
      </w:tr>
      <w:tr w:rsidR="00682298" w:rsidTr="00CE7449">
        <w:tc>
          <w:tcPr>
            <w:tcW w:w="9628" w:type="dxa"/>
          </w:tcPr>
          <w:p w:rsidR="009222D0" w:rsidRDefault="009222D0" w:rsidP="00CE7449">
            <w:pPr>
              <w:pStyle w:val="KeinLeerraum"/>
              <w:rPr>
                <w:b/>
              </w:rPr>
            </w:pPr>
            <w:r>
              <w:rPr>
                <w:b/>
              </w:rPr>
              <w:t xml:space="preserve">Gesetzbuch: </w:t>
            </w:r>
            <w:r w:rsidR="00E42462" w:rsidRPr="00E42462">
              <w:rPr>
                <w:color w:val="FF0000"/>
              </w:rPr>
              <w:t>O</w:t>
            </w:r>
            <w:r w:rsidR="00E42462">
              <w:rPr>
                <w:color w:val="FF0000"/>
              </w:rPr>
              <w:t>bligationsrecht</w:t>
            </w:r>
          </w:p>
          <w:p w:rsidR="009222D0" w:rsidRDefault="009222D0" w:rsidP="00CE7449">
            <w:pPr>
              <w:pStyle w:val="KeinLeerraum"/>
              <w:rPr>
                <w:b/>
              </w:rPr>
            </w:pPr>
          </w:p>
          <w:p w:rsidR="00682298" w:rsidRPr="0089755D" w:rsidRDefault="00682298" w:rsidP="00CE7449">
            <w:pPr>
              <w:pStyle w:val="KeinLeerraum"/>
              <w:rPr>
                <w:b/>
              </w:rPr>
            </w:pPr>
            <w:r w:rsidRPr="0089755D">
              <w:rPr>
                <w:b/>
              </w:rPr>
              <w:t>Relevante</w:t>
            </w:r>
            <w:r w:rsidR="00F82519">
              <w:rPr>
                <w:b/>
              </w:rPr>
              <w:t>r</w:t>
            </w:r>
            <w:r w:rsidRPr="0089755D">
              <w:rPr>
                <w:b/>
              </w:rPr>
              <w:t xml:space="preserve"> Gesetzesartikel:</w:t>
            </w:r>
            <w:r w:rsidR="00E42462" w:rsidRPr="00E42462">
              <w:rPr>
                <w:color w:val="FF0000"/>
              </w:rPr>
              <w:t xml:space="preserve"> </w:t>
            </w:r>
            <w:r w:rsidR="004C3C70">
              <w:rPr>
                <w:color w:val="FF0000"/>
              </w:rPr>
              <w:t>Art. 28</w:t>
            </w:r>
            <w:r w:rsidR="00E42462" w:rsidRPr="00E42462">
              <w:rPr>
                <w:color w:val="FF0000"/>
              </w:rPr>
              <w:t xml:space="preserve"> – </w:t>
            </w:r>
            <w:r w:rsidR="004C3C70">
              <w:rPr>
                <w:color w:val="FF0000"/>
              </w:rPr>
              <w:t>II. A</w:t>
            </w:r>
            <w:r w:rsidR="00E42462" w:rsidRPr="00E42462">
              <w:rPr>
                <w:color w:val="FF0000"/>
              </w:rPr>
              <w:t>bsichtliche Täuschung</w:t>
            </w:r>
          </w:p>
          <w:p w:rsidR="00682298" w:rsidRDefault="00682298" w:rsidP="009F3F90">
            <w:pPr>
              <w:pStyle w:val="KeinLeerraum"/>
              <w:rPr>
                <w:color w:val="FF0000"/>
              </w:rPr>
            </w:pPr>
          </w:p>
          <w:p w:rsidR="009F3F90" w:rsidRPr="004640DF" w:rsidRDefault="009F3F90" w:rsidP="009F3F90">
            <w:pPr>
              <w:pStyle w:val="KeinLeerraum"/>
            </w:pPr>
          </w:p>
        </w:tc>
      </w:tr>
      <w:tr w:rsidR="00682298" w:rsidTr="00CE7449">
        <w:tc>
          <w:tcPr>
            <w:tcW w:w="9628" w:type="dxa"/>
          </w:tcPr>
          <w:p w:rsidR="00682298" w:rsidRPr="007D3999" w:rsidRDefault="00682298" w:rsidP="00CE7449">
            <w:pPr>
              <w:jc w:val="both"/>
              <w:rPr>
                <w:b/>
              </w:rPr>
            </w:pPr>
            <w:r w:rsidRPr="007D3999">
              <w:rPr>
                <w:b/>
              </w:rPr>
              <w:t>Argumente des Klägers (</w:t>
            </w:r>
            <w:r w:rsidR="00F82519">
              <w:rPr>
                <w:b/>
              </w:rPr>
              <w:t xml:space="preserve">Herr </w:t>
            </w:r>
            <w:proofErr w:type="spellStart"/>
            <w:r w:rsidR="00F82519">
              <w:rPr>
                <w:b/>
              </w:rPr>
              <w:t>Rölli</w:t>
            </w:r>
            <w:proofErr w:type="spellEnd"/>
            <w:r w:rsidRPr="007D3999">
              <w:rPr>
                <w:b/>
              </w:rPr>
              <w:t xml:space="preserve">): </w:t>
            </w:r>
          </w:p>
          <w:p w:rsidR="00682298" w:rsidRDefault="00E42462" w:rsidP="00CE7449">
            <w:pPr>
              <w:jc w:val="both"/>
            </w:pPr>
            <w:r w:rsidRPr="00E42462">
              <w:rPr>
                <w:color w:val="FF0000"/>
              </w:rPr>
              <w:t>Fälschung, Der Verkäufer hat eine Falschaussage zu Gunsten eines besseren Verkaufspreises gemacht</w:t>
            </w:r>
          </w:p>
        </w:tc>
      </w:tr>
      <w:tr w:rsidR="00682298" w:rsidTr="00CE7449">
        <w:tc>
          <w:tcPr>
            <w:tcW w:w="9628" w:type="dxa"/>
          </w:tcPr>
          <w:p w:rsidR="00682298" w:rsidRDefault="00682298" w:rsidP="00CE7449">
            <w:pPr>
              <w:jc w:val="both"/>
              <w:rPr>
                <w:b/>
              </w:rPr>
            </w:pPr>
            <w:r w:rsidRPr="007D3999">
              <w:rPr>
                <w:b/>
              </w:rPr>
              <w:t xml:space="preserve">Argumente </w:t>
            </w:r>
            <w:r>
              <w:rPr>
                <w:b/>
              </w:rPr>
              <w:t>Beklagter (</w:t>
            </w:r>
            <w:r w:rsidR="00F82519">
              <w:rPr>
                <w:b/>
              </w:rPr>
              <w:t>Herr Schwager</w:t>
            </w:r>
            <w:r>
              <w:rPr>
                <w:b/>
              </w:rPr>
              <w:t>)</w:t>
            </w:r>
          </w:p>
          <w:p w:rsidR="00682298" w:rsidRPr="00E91D27" w:rsidRDefault="00E42462" w:rsidP="00CE7449">
            <w:pPr>
              <w:jc w:val="both"/>
              <w:rPr>
                <w:color w:val="FF0000"/>
              </w:rPr>
            </w:pPr>
            <w:r>
              <w:rPr>
                <w:color w:val="FF0000"/>
              </w:rPr>
              <w:t>Verkaufsvertrag wurde unterschrieben, das heisst, der Käufer ist mit dem Kauf einverstanden</w:t>
            </w:r>
          </w:p>
        </w:tc>
      </w:tr>
      <w:tr w:rsidR="00682298" w:rsidTr="00CE7449">
        <w:tc>
          <w:tcPr>
            <w:tcW w:w="9628" w:type="dxa"/>
          </w:tcPr>
          <w:p w:rsidR="00682298" w:rsidRDefault="00682298" w:rsidP="00CE7449">
            <w:pPr>
              <w:jc w:val="both"/>
              <w:rPr>
                <w:b/>
              </w:rPr>
            </w:pPr>
            <w:r w:rsidRPr="007D3999">
              <w:rPr>
                <w:b/>
              </w:rPr>
              <w:t>Fazit</w:t>
            </w:r>
            <w:r>
              <w:rPr>
                <w:b/>
              </w:rPr>
              <w:t xml:space="preserve"> («Urteil»</w:t>
            </w:r>
            <w:r w:rsidR="009F3F90">
              <w:rPr>
                <w:b/>
              </w:rPr>
              <w:t>/Rechtsfolge</w:t>
            </w:r>
            <w:r>
              <w:rPr>
                <w:b/>
              </w:rPr>
              <w:t>)</w:t>
            </w:r>
            <w:r w:rsidRPr="007D3999">
              <w:rPr>
                <w:b/>
              </w:rPr>
              <w:t xml:space="preserve">: </w:t>
            </w:r>
          </w:p>
          <w:p w:rsidR="004C3C70" w:rsidRDefault="004C3C70" w:rsidP="009F3F90">
            <w:pPr>
              <w:jc w:val="both"/>
              <w:rPr>
                <w:color w:val="FF0000"/>
              </w:rPr>
            </w:pPr>
            <w:r>
              <w:rPr>
                <w:color w:val="FF0000"/>
              </w:rPr>
              <w:t>Wenn der Käufer einen Kauf tätigen will und durch eine Täuschung zum Kauf verleitet wird, verlier</w:t>
            </w:r>
            <w:r w:rsidR="00173FAC">
              <w:rPr>
                <w:color w:val="FF0000"/>
              </w:rPr>
              <w:t>t der Vertrag seine Gültigkeit.</w:t>
            </w:r>
          </w:p>
          <w:p w:rsidR="004C3C70" w:rsidRDefault="004C3C70" w:rsidP="009F3F90">
            <w:pPr>
              <w:jc w:val="both"/>
              <w:rPr>
                <w:color w:val="FF0000"/>
              </w:rPr>
            </w:pPr>
            <w:r>
              <w:rPr>
                <w:color w:val="FF0000"/>
              </w:rPr>
              <w:t>Schwager muss</w:t>
            </w:r>
            <w:r w:rsidR="00173FAC">
              <w:rPr>
                <w:color w:val="FF0000"/>
              </w:rPr>
              <w:t xml:space="preserve"> den Verkaufspreis</w:t>
            </w:r>
            <w:r>
              <w:rPr>
                <w:color w:val="FF0000"/>
              </w:rPr>
              <w:t xml:space="preserve"> zurückzahlen, der Teppich muss </w:t>
            </w:r>
            <w:proofErr w:type="spellStart"/>
            <w:r>
              <w:rPr>
                <w:color w:val="FF0000"/>
              </w:rPr>
              <w:t>Rölli</w:t>
            </w:r>
            <w:proofErr w:type="spellEnd"/>
            <w:r>
              <w:rPr>
                <w:color w:val="FF0000"/>
              </w:rPr>
              <w:t xml:space="preserve"> zurückgeben. Schwager muss für die Verfahrenskosten aufkommen, da er den Prozess verloren hat.</w:t>
            </w:r>
          </w:p>
          <w:p w:rsidR="008609E1" w:rsidRDefault="008609E1" w:rsidP="009F3F90">
            <w:pPr>
              <w:jc w:val="both"/>
              <w:rPr>
                <w:color w:val="FF0000"/>
              </w:rPr>
            </w:pPr>
            <w:r>
              <w:rPr>
                <w:color w:val="FF0000"/>
              </w:rPr>
              <w:t>Prüfung Tatbestandsmerkmale:</w:t>
            </w:r>
          </w:p>
          <w:p w:rsidR="008609E1" w:rsidRDefault="008609E1" w:rsidP="008609E1">
            <w:pPr>
              <w:pStyle w:val="Listenabsatz"/>
              <w:numPr>
                <w:ilvl w:val="0"/>
                <w:numId w:val="10"/>
              </w:numPr>
              <w:jc w:val="both"/>
              <w:rPr>
                <w:color w:val="FF0000"/>
              </w:rPr>
            </w:pPr>
            <w:r>
              <w:rPr>
                <w:color w:val="FF0000"/>
              </w:rPr>
              <w:t>Absichtliche Täuschung</w:t>
            </w:r>
          </w:p>
          <w:p w:rsidR="008609E1" w:rsidRDefault="008609E1" w:rsidP="008609E1">
            <w:pPr>
              <w:pStyle w:val="Listenabsatz"/>
              <w:numPr>
                <w:ilvl w:val="0"/>
                <w:numId w:val="10"/>
              </w:numPr>
              <w:jc w:val="both"/>
              <w:rPr>
                <w:color w:val="FF0000"/>
              </w:rPr>
            </w:pPr>
            <w:r>
              <w:rPr>
                <w:color w:val="FF0000"/>
              </w:rPr>
              <w:t>Verleitung zum Vertragsabschluss</w:t>
            </w:r>
          </w:p>
          <w:p w:rsidR="008609E1" w:rsidRDefault="008609E1" w:rsidP="008609E1">
            <w:pPr>
              <w:pStyle w:val="Listenabsatz"/>
              <w:numPr>
                <w:ilvl w:val="0"/>
                <w:numId w:val="10"/>
              </w:numPr>
              <w:jc w:val="both"/>
              <w:rPr>
                <w:color w:val="FF0000"/>
              </w:rPr>
            </w:pPr>
            <w:r>
              <w:rPr>
                <w:color w:val="FF0000"/>
              </w:rPr>
              <w:t>Täuschung bewirkt Vertrag (Kausalzusammenhang)</w:t>
            </w:r>
          </w:p>
          <w:p w:rsidR="008609E1" w:rsidRPr="008609E1" w:rsidRDefault="008609E1" w:rsidP="008609E1">
            <w:pPr>
              <w:pStyle w:val="Listenabsatz"/>
              <w:jc w:val="both"/>
              <w:rPr>
                <w:color w:val="FF0000"/>
              </w:rPr>
            </w:pPr>
            <w:r>
              <w:rPr>
                <w:color w:val="FF0000"/>
              </w:rPr>
              <w:t xml:space="preserve">(Herr </w:t>
            </w:r>
            <w:proofErr w:type="spellStart"/>
            <w:r>
              <w:rPr>
                <w:color w:val="FF0000"/>
              </w:rPr>
              <w:t>Rölli</w:t>
            </w:r>
            <w:proofErr w:type="spellEnd"/>
            <w:r>
              <w:rPr>
                <w:color w:val="FF0000"/>
              </w:rPr>
              <w:t xml:space="preserve"> wollte ja einen echten Perserteppich und hat den Teppich nicht z.B. wegen dem Muster gekauft)</w:t>
            </w:r>
          </w:p>
        </w:tc>
      </w:tr>
    </w:tbl>
    <w:p w:rsidR="009F3F90" w:rsidRDefault="009F3F90" w:rsidP="00682298">
      <w:pPr>
        <w:jc w:val="both"/>
      </w:pPr>
    </w:p>
    <w:p w:rsidR="009F3F90" w:rsidRDefault="009F3F90">
      <w:pPr>
        <w:spacing w:after="160" w:line="259" w:lineRule="auto"/>
      </w:pPr>
      <w:r>
        <w:br w:type="page"/>
      </w:r>
    </w:p>
    <w:p w:rsidR="007B73C3" w:rsidRDefault="007B73C3" w:rsidP="006E2B73">
      <w:pPr>
        <w:spacing w:after="160" w:line="259" w:lineRule="auto"/>
        <w:rPr>
          <w:color w:val="2F5496" w:themeColor="accent1" w:themeShade="BF"/>
          <w:sz w:val="40"/>
          <w:szCs w:val="40"/>
        </w:rPr>
      </w:pPr>
      <w:r>
        <w:rPr>
          <w:color w:val="2F5496" w:themeColor="accent1" w:themeShade="BF"/>
          <w:sz w:val="40"/>
          <w:szCs w:val="40"/>
        </w:rPr>
        <w:lastRenderedPageBreak/>
        <w:t xml:space="preserve">Fall 3: </w:t>
      </w:r>
    </w:p>
    <w:p w:rsidR="007B73C3" w:rsidRDefault="007B73C3" w:rsidP="007B73C3">
      <w:pPr>
        <w:jc w:val="both"/>
      </w:pPr>
      <w:r>
        <w:t xml:space="preserve">Reto und Thomas sind </w:t>
      </w:r>
      <w:r w:rsidR="00A408E9">
        <w:t xml:space="preserve">alte Schulfreunde. Reto ist in finanzielle </w:t>
      </w:r>
      <w:r>
        <w:t>Schwierigkeiten</w:t>
      </w:r>
      <w:r w:rsidR="00A408E9">
        <w:t xml:space="preserve"> geraten</w:t>
      </w:r>
      <w:r>
        <w:t xml:space="preserve">. </w:t>
      </w:r>
      <w:r w:rsidR="00A408E9">
        <w:t>Er weiss, dass Thomas leichtgläubig ist und sich gerne auf waghalsige Unternehmungen einlässt. Reto überredet Thomas</w:t>
      </w:r>
      <w:r>
        <w:t xml:space="preserve">, in der Nacht in den Kiosk am Bahnhof einzubrechen. </w:t>
      </w:r>
      <w:r w:rsidR="00A408E9">
        <w:t xml:space="preserve">Er habe alles genau geplant und «es sei eine ganz einfache Sache». </w:t>
      </w:r>
      <w:r>
        <w:t xml:space="preserve">Reto steht Schmiere, während sich Thomas mit entsprechendem Werkzeug Zutritt zum Kiosk verschafft, das Bargeld aus der Kasse sowie diverse Lebensmittel und Rauchwaren einpackt. Anschliessend flüchten die beiden. Sie kommen jedoch nicht sehr weit und werden beide verhaftet. </w:t>
      </w:r>
    </w:p>
    <w:p w:rsidR="007B73C3" w:rsidRDefault="007B73C3" w:rsidP="007B73C3">
      <w:pPr>
        <w:jc w:val="both"/>
      </w:pPr>
      <w:r>
        <w:t xml:space="preserve">a) Wegen welchen Delikten wird die Staatsanwaltschaft Thomas anklagen? </w:t>
      </w:r>
    </w:p>
    <w:tbl>
      <w:tblPr>
        <w:tblStyle w:val="Tabellenraster"/>
        <w:tblW w:w="0" w:type="auto"/>
        <w:tblLook w:val="04A0" w:firstRow="1" w:lastRow="0" w:firstColumn="1" w:lastColumn="0" w:noHBand="0" w:noVBand="1"/>
      </w:tblPr>
      <w:tblGrid>
        <w:gridCol w:w="9628"/>
      </w:tblGrid>
      <w:tr w:rsidR="009222D0" w:rsidRPr="00085D0A" w:rsidTr="00F15F60">
        <w:tc>
          <w:tcPr>
            <w:tcW w:w="9628" w:type="dxa"/>
          </w:tcPr>
          <w:p w:rsidR="009222D0" w:rsidRDefault="009222D0" w:rsidP="00F15F60">
            <w:pPr>
              <w:jc w:val="both"/>
              <w:rPr>
                <w:b/>
              </w:rPr>
            </w:pPr>
            <w:r>
              <w:rPr>
                <w:b/>
              </w:rPr>
              <w:t xml:space="preserve">Stichworte: </w:t>
            </w:r>
          </w:p>
          <w:p w:rsidR="00314C09" w:rsidRPr="0084528E" w:rsidRDefault="00314C09" w:rsidP="00F15F60">
            <w:pPr>
              <w:jc w:val="both"/>
              <w:rPr>
                <w:b/>
              </w:rPr>
            </w:pPr>
            <w:r w:rsidRPr="00314C09">
              <w:rPr>
                <w:color w:val="FF0000"/>
              </w:rPr>
              <w:t>Hausfriedensbruch, Sachbeschädigung, Diebstahl</w:t>
            </w:r>
          </w:p>
        </w:tc>
      </w:tr>
      <w:tr w:rsidR="009222D0" w:rsidRPr="004640DF" w:rsidTr="00F15F60">
        <w:tc>
          <w:tcPr>
            <w:tcW w:w="9628" w:type="dxa"/>
          </w:tcPr>
          <w:p w:rsidR="00031A0D" w:rsidRPr="00031A0D" w:rsidRDefault="00031A0D" w:rsidP="00F15F60">
            <w:pPr>
              <w:pStyle w:val="KeinLeerraum"/>
              <w:rPr>
                <w:color w:val="FF0000"/>
              </w:rPr>
            </w:pPr>
            <w:r>
              <w:rPr>
                <w:b/>
              </w:rPr>
              <w:t xml:space="preserve">Gesetzbuch: </w:t>
            </w:r>
            <w:r w:rsidR="00314C09" w:rsidRPr="00314C09">
              <w:rPr>
                <w:color w:val="FF0000"/>
              </w:rPr>
              <w:t>Schweizerisches Strafgesetzbuch</w:t>
            </w:r>
          </w:p>
          <w:p w:rsidR="00031A0D" w:rsidRPr="00031A0D" w:rsidRDefault="00031A0D" w:rsidP="00F15F60">
            <w:pPr>
              <w:pStyle w:val="KeinLeerraum"/>
              <w:rPr>
                <w:color w:val="FF0000"/>
              </w:rPr>
            </w:pPr>
          </w:p>
          <w:p w:rsidR="009222D0" w:rsidRDefault="009222D0" w:rsidP="00F15F60">
            <w:pPr>
              <w:pStyle w:val="KeinLeerraum"/>
              <w:rPr>
                <w:b/>
              </w:rPr>
            </w:pPr>
            <w:r w:rsidRPr="0089755D">
              <w:rPr>
                <w:b/>
              </w:rPr>
              <w:t>Relevante Gesetzesartikel:</w:t>
            </w:r>
          </w:p>
          <w:p w:rsidR="00314C09" w:rsidRPr="00314C09" w:rsidRDefault="00314C09" w:rsidP="00314C09">
            <w:pPr>
              <w:jc w:val="both"/>
              <w:rPr>
                <w:color w:val="FF0000"/>
              </w:rPr>
            </w:pPr>
            <w:r w:rsidRPr="00314C09">
              <w:rPr>
                <w:color w:val="FF0000"/>
              </w:rPr>
              <w:t>Art. 139 1.Strafbahre Handlungen gegen das Vermögen. /Diebstahl</w:t>
            </w:r>
          </w:p>
          <w:p w:rsidR="00314C09" w:rsidRPr="00314C09" w:rsidRDefault="00314C09" w:rsidP="00314C09">
            <w:pPr>
              <w:jc w:val="both"/>
              <w:rPr>
                <w:color w:val="FF0000"/>
              </w:rPr>
            </w:pPr>
            <w:r w:rsidRPr="00314C09">
              <w:rPr>
                <w:color w:val="FF0000"/>
              </w:rPr>
              <w:t>Art. 186 Hausfriedensbruch</w:t>
            </w:r>
          </w:p>
          <w:p w:rsidR="00314C09" w:rsidRPr="00314C09" w:rsidRDefault="00314C09" w:rsidP="00314C09">
            <w:pPr>
              <w:jc w:val="both"/>
              <w:rPr>
                <w:color w:val="FF0000"/>
              </w:rPr>
            </w:pPr>
            <w:r w:rsidRPr="00314C09">
              <w:rPr>
                <w:color w:val="FF0000"/>
              </w:rPr>
              <w:t>Art. 144 1.Strafbare Handlungen gegen das Vermögen</w:t>
            </w:r>
          </w:p>
          <w:p w:rsidR="009222D0" w:rsidRPr="004640DF" w:rsidRDefault="009222D0" w:rsidP="009F3F90">
            <w:pPr>
              <w:pStyle w:val="KeinLeerraum"/>
            </w:pPr>
          </w:p>
        </w:tc>
      </w:tr>
    </w:tbl>
    <w:p w:rsidR="009222D0" w:rsidRDefault="009222D0" w:rsidP="007B73C3">
      <w:pPr>
        <w:jc w:val="both"/>
      </w:pPr>
    </w:p>
    <w:p w:rsidR="007B73C3" w:rsidRDefault="007B73C3" w:rsidP="007B73C3">
      <w:pPr>
        <w:jc w:val="both"/>
      </w:pPr>
      <w:r>
        <w:t xml:space="preserve">b) Hat auch Reto mit einer Anklage zu rechnen? </w:t>
      </w:r>
    </w:p>
    <w:tbl>
      <w:tblPr>
        <w:tblStyle w:val="Tabellenraster"/>
        <w:tblW w:w="0" w:type="auto"/>
        <w:tblLook w:val="04A0" w:firstRow="1" w:lastRow="0" w:firstColumn="1" w:lastColumn="0" w:noHBand="0" w:noVBand="1"/>
      </w:tblPr>
      <w:tblGrid>
        <w:gridCol w:w="9628"/>
      </w:tblGrid>
      <w:tr w:rsidR="007B73C3" w:rsidTr="00F15F60">
        <w:tc>
          <w:tcPr>
            <w:tcW w:w="9628" w:type="dxa"/>
          </w:tcPr>
          <w:p w:rsidR="007B73C3" w:rsidRPr="00085D0A" w:rsidRDefault="007B73C3" w:rsidP="00A87314">
            <w:pPr>
              <w:jc w:val="both"/>
              <w:rPr>
                <w:color w:val="FF0000"/>
              </w:rPr>
            </w:pPr>
            <w:r>
              <w:rPr>
                <w:b/>
              </w:rPr>
              <w:t xml:space="preserve">Stichworte: </w:t>
            </w:r>
            <w:r w:rsidR="00314C09" w:rsidRPr="00314C09">
              <w:rPr>
                <w:color w:val="FF0000"/>
              </w:rPr>
              <w:t>Anstiftung, Beihilfe</w:t>
            </w:r>
          </w:p>
        </w:tc>
      </w:tr>
      <w:tr w:rsidR="007B73C3" w:rsidTr="00F15F60">
        <w:tc>
          <w:tcPr>
            <w:tcW w:w="9628" w:type="dxa"/>
          </w:tcPr>
          <w:p w:rsidR="007B73C3" w:rsidRPr="0089755D" w:rsidRDefault="007B73C3" w:rsidP="00F15F60">
            <w:pPr>
              <w:pStyle w:val="KeinLeerraum"/>
              <w:rPr>
                <w:b/>
              </w:rPr>
            </w:pPr>
            <w:r w:rsidRPr="0089755D">
              <w:rPr>
                <w:b/>
              </w:rPr>
              <w:t>Relevante</w:t>
            </w:r>
            <w:r>
              <w:rPr>
                <w:b/>
              </w:rPr>
              <w:t>r</w:t>
            </w:r>
            <w:r w:rsidRPr="0089755D">
              <w:rPr>
                <w:b/>
              </w:rPr>
              <w:t xml:space="preserve"> Gesetzesartikel:</w:t>
            </w:r>
          </w:p>
          <w:p w:rsidR="007B73C3" w:rsidRDefault="00314C09" w:rsidP="00F15F60">
            <w:pPr>
              <w:pStyle w:val="KeinLeerraum"/>
              <w:rPr>
                <w:color w:val="FF0000"/>
              </w:rPr>
            </w:pPr>
            <w:r>
              <w:rPr>
                <w:color w:val="FF0000"/>
              </w:rPr>
              <w:t>Art.24 5. Teilnahme. / Anstiftung</w:t>
            </w:r>
          </w:p>
          <w:p w:rsidR="00314C09" w:rsidRDefault="00314C09" w:rsidP="00F15F60">
            <w:pPr>
              <w:pStyle w:val="KeinLeerraum"/>
              <w:rPr>
                <w:color w:val="FF0000"/>
              </w:rPr>
            </w:pPr>
            <w:r>
              <w:rPr>
                <w:color w:val="FF0000"/>
              </w:rPr>
              <w:t>Art 25 5. Teilnahme. / Gehilfenschaft</w:t>
            </w:r>
          </w:p>
          <w:p w:rsidR="001C693D" w:rsidRPr="004640DF" w:rsidRDefault="001C693D" w:rsidP="00F15F60">
            <w:pPr>
              <w:pStyle w:val="KeinLeerraum"/>
            </w:pPr>
          </w:p>
        </w:tc>
      </w:tr>
      <w:tr w:rsidR="007B73C3" w:rsidTr="00F15F60">
        <w:tc>
          <w:tcPr>
            <w:tcW w:w="9628" w:type="dxa"/>
          </w:tcPr>
          <w:p w:rsidR="007B73C3" w:rsidRPr="007D3999" w:rsidRDefault="007B73C3" w:rsidP="00F15F60">
            <w:pPr>
              <w:jc w:val="both"/>
              <w:rPr>
                <w:b/>
              </w:rPr>
            </w:pPr>
            <w:r w:rsidRPr="007D3999">
              <w:rPr>
                <w:b/>
              </w:rPr>
              <w:t xml:space="preserve">Argumente des </w:t>
            </w:r>
            <w:r w:rsidR="0042065A">
              <w:rPr>
                <w:b/>
              </w:rPr>
              <w:t>Angeklagten</w:t>
            </w:r>
            <w:r w:rsidRPr="007D3999">
              <w:rPr>
                <w:b/>
              </w:rPr>
              <w:t xml:space="preserve"> (</w:t>
            </w:r>
            <w:r w:rsidR="0042065A">
              <w:rPr>
                <w:b/>
              </w:rPr>
              <w:t>Reto</w:t>
            </w:r>
            <w:r w:rsidRPr="007D3999">
              <w:rPr>
                <w:b/>
              </w:rPr>
              <w:t xml:space="preserve">): </w:t>
            </w:r>
          </w:p>
          <w:p w:rsidR="007B73C3" w:rsidRPr="00314C09" w:rsidRDefault="00314C09" w:rsidP="00F15F60">
            <w:pPr>
              <w:jc w:val="both"/>
              <w:rPr>
                <w:color w:val="FF0000"/>
              </w:rPr>
            </w:pPr>
            <w:r w:rsidRPr="00314C09">
              <w:rPr>
                <w:color w:val="FF0000"/>
              </w:rPr>
              <w:t>Geldkrise</w:t>
            </w:r>
          </w:p>
          <w:p w:rsidR="00314C09" w:rsidRDefault="00314C09" w:rsidP="00F15F60">
            <w:pPr>
              <w:jc w:val="both"/>
            </w:pPr>
            <w:r w:rsidRPr="00314C09">
              <w:rPr>
                <w:color w:val="FF0000"/>
              </w:rPr>
              <w:t>Alleinige Beihilfe</w:t>
            </w:r>
          </w:p>
        </w:tc>
      </w:tr>
      <w:tr w:rsidR="007B73C3" w:rsidTr="00F15F60">
        <w:tc>
          <w:tcPr>
            <w:tcW w:w="9628" w:type="dxa"/>
          </w:tcPr>
          <w:p w:rsidR="007B73C3" w:rsidRDefault="007B73C3" w:rsidP="00F15F60">
            <w:pPr>
              <w:jc w:val="both"/>
              <w:rPr>
                <w:b/>
              </w:rPr>
            </w:pPr>
            <w:r w:rsidRPr="007D3999">
              <w:rPr>
                <w:b/>
              </w:rPr>
              <w:t xml:space="preserve">Argumente </w:t>
            </w:r>
            <w:r>
              <w:rPr>
                <w:b/>
              </w:rPr>
              <w:t>Beklagter (</w:t>
            </w:r>
            <w:r w:rsidR="0042065A">
              <w:rPr>
                <w:b/>
              </w:rPr>
              <w:t>Staatsanwalt</w:t>
            </w:r>
            <w:r>
              <w:rPr>
                <w:b/>
              </w:rPr>
              <w:t>)</w:t>
            </w:r>
            <w:r w:rsidR="008F6D4A">
              <w:rPr>
                <w:b/>
              </w:rPr>
              <w:t>:</w:t>
            </w:r>
          </w:p>
          <w:p w:rsidR="007B73C3" w:rsidRPr="00E91D27" w:rsidRDefault="00314C09" w:rsidP="00F15F60">
            <w:pPr>
              <w:jc w:val="both"/>
              <w:rPr>
                <w:color w:val="FF0000"/>
              </w:rPr>
            </w:pPr>
            <w:r>
              <w:rPr>
                <w:color w:val="FF0000"/>
              </w:rPr>
              <w:t>Anstiftung</w:t>
            </w:r>
          </w:p>
        </w:tc>
      </w:tr>
      <w:tr w:rsidR="007B73C3" w:rsidTr="00F15F60">
        <w:tc>
          <w:tcPr>
            <w:tcW w:w="9628" w:type="dxa"/>
          </w:tcPr>
          <w:p w:rsidR="007B73C3" w:rsidRDefault="007B73C3" w:rsidP="00F15F60">
            <w:pPr>
              <w:jc w:val="both"/>
              <w:rPr>
                <w:b/>
              </w:rPr>
            </w:pPr>
            <w:r w:rsidRPr="007D3999">
              <w:rPr>
                <w:b/>
              </w:rPr>
              <w:t>Fazit</w:t>
            </w:r>
            <w:r>
              <w:rPr>
                <w:b/>
              </w:rPr>
              <w:t xml:space="preserve"> («Urteil»</w:t>
            </w:r>
            <w:r w:rsidR="001C693D">
              <w:rPr>
                <w:b/>
              </w:rPr>
              <w:t>/Rechtsfolge</w:t>
            </w:r>
            <w:r>
              <w:rPr>
                <w:b/>
              </w:rPr>
              <w:t>)</w:t>
            </w:r>
            <w:r w:rsidRPr="007D3999">
              <w:rPr>
                <w:b/>
              </w:rPr>
              <w:t xml:space="preserve">: </w:t>
            </w:r>
          </w:p>
          <w:p w:rsidR="001C693D" w:rsidRPr="00314C09" w:rsidRDefault="00314C09" w:rsidP="00F15F60">
            <w:pPr>
              <w:jc w:val="both"/>
              <w:rPr>
                <w:color w:val="FF0000"/>
              </w:rPr>
            </w:pPr>
            <w:r w:rsidRPr="00314C09">
              <w:rPr>
                <w:color w:val="FF0000"/>
              </w:rPr>
              <w:t>Strafurteil durch Anstiftung</w:t>
            </w:r>
            <w:r>
              <w:rPr>
                <w:color w:val="FF0000"/>
              </w:rPr>
              <w:t>, folgend übernimmt die Strafe wie bei Diebstahl/ Hausfriedensbruch/ Sachbeschädigung Freiheitsstrafe</w:t>
            </w:r>
            <w:bookmarkStart w:id="0" w:name="_GoBack"/>
            <w:bookmarkEnd w:id="0"/>
            <w:r>
              <w:rPr>
                <w:color w:val="FF0000"/>
              </w:rPr>
              <w:t xml:space="preserve"> von 3-5 Jahren oder Feldstrafe (unwahrscheinlich)</w:t>
            </w:r>
          </w:p>
          <w:p w:rsidR="007B73C3" w:rsidRDefault="00A87C03" w:rsidP="00A87C03">
            <w:pPr>
              <w:jc w:val="both"/>
            </w:pPr>
            <w:r>
              <w:t xml:space="preserve"> </w:t>
            </w:r>
          </w:p>
        </w:tc>
      </w:tr>
    </w:tbl>
    <w:p w:rsidR="0038252E" w:rsidRPr="0038252E" w:rsidRDefault="0038252E" w:rsidP="00755227">
      <w:pPr>
        <w:pStyle w:val="Listenabsatz"/>
        <w:ind w:left="360"/>
        <w:rPr>
          <w:rFonts w:cstheme="minorHAnsi"/>
          <w:sz w:val="24"/>
          <w:szCs w:val="24"/>
        </w:rPr>
      </w:pPr>
    </w:p>
    <w:sectPr w:rsidR="0038252E" w:rsidRPr="0038252E" w:rsidSect="003B3D53">
      <w:headerReference w:type="default" r:id="rId7"/>
      <w:footerReference w:type="default" r:id="rId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B8F" w:rsidRDefault="00803B8F" w:rsidP="00713D9C">
      <w:pPr>
        <w:spacing w:after="0" w:line="240" w:lineRule="auto"/>
      </w:pPr>
      <w:r>
        <w:separator/>
      </w:r>
    </w:p>
  </w:endnote>
  <w:endnote w:type="continuationSeparator" w:id="0">
    <w:p w:rsidR="00803B8F" w:rsidRDefault="00803B8F" w:rsidP="0071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4A1" w:rsidRPr="00370104" w:rsidRDefault="0006772B" w:rsidP="00C14716">
    <w:pPr>
      <w:pStyle w:val="Fuzeile"/>
      <w:tabs>
        <w:tab w:val="clear" w:pos="4536"/>
        <w:tab w:val="clear" w:pos="9072"/>
        <w:tab w:val="center" w:pos="4820"/>
        <w:tab w:val="right" w:pos="9639"/>
      </w:tabs>
      <w:rPr>
        <w:rFonts w:ascii="Tahoma" w:hAnsi="Tahoma" w:cs="Tahoma"/>
        <w:sz w:val="20"/>
        <w:szCs w:val="20"/>
      </w:rPr>
    </w:pPr>
    <w:r>
      <w:rPr>
        <w:rFonts w:ascii="Tahoma" w:hAnsi="Tahoma" w:cs="Tahoma"/>
        <w:sz w:val="20"/>
        <w:szCs w:val="20"/>
      </w:rPr>
      <w:t>Fachbereich Wirtschaft</w:t>
    </w:r>
    <w:r>
      <w:rPr>
        <w:rFonts w:ascii="Tahoma" w:hAnsi="Tahoma" w:cs="Tahoma"/>
        <w:sz w:val="20"/>
        <w:szCs w:val="20"/>
      </w:rPr>
      <w:tab/>
    </w:r>
    <w:r w:rsidR="00033852">
      <w:rPr>
        <w:rFonts w:ascii="Tahoma" w:hAnsi="Tahoma" w:cs="Tahoma"/>
        <w:sz w:val="20"/>
        <w:szCs w:val="20"/>
      </w:rPr>
      <w:t>O</w:t>
    </w:r>
    <w:r w:rsidR="00713D9C">
      <w:rPr>
        <w:rFonts w:ascii="Tahoma" w:hAnsi="Tahoma" w:cs="Tahoma"/>
        <w:sz w:val="20"/>
        <w:szCs w:val="20"/>
      </w:rPr>
      <w:t>ktober</w:t>
    </w:r>
    <w:r>
      <w:rPr>
        <w:rFonts w:ascii="Tahoma" w:hAnsi="Tahoma" w:cs="Tahoma"/>
        <w:sz w:val="20"/>
        <w:szCs w:val="20"/>
      </w:rPr>
      <w:t xml:space="preserve"> 2017</w:t>
    </w:r>
    <w:r w:rsidRPr="00370104">
      <w:rPr>
        <w:rFonts w:ascii="Tahoma" w:hAnsi="Tahoma" w:cs="Tahoma"/>
        <w:sz w:val="20"/>
        <w:szCs w:val="20"/>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314C09">
      <w:rPr>
        <w:rFonts w:ascii="Tahoma" w:hAnsi="Tahoma" w:cs="Tahoma"/>
        <w:noProof/>
        <w:sz w:val="20"/>
        <w:szCs w:val="20"/>
      </w:rPr>
      <w:t>2</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314C09" w:rsidRPr="00314C09">
      <w:rPr>
        <w:rFonts w:ascii="Tahoma" w:hAnsi="Tahoma" w:cs="Tahoma"/>
        <w:noProof/>
        <w:sz w:val="20"/>
        <w:szCs w:val="20"/>
        <w:lang w:val="de-DE"/>
      </w:rPr>
      <w:t>3</w:t>
    </w:r>
    <w:r w:rsidRPr="00370104">
      <w:rPr>
        <w:rFonts w:ascii="Tahoma" w:hAnsi="Tahoma" w:cs="Tahoma"/>
        <w:noProof/>
        <w:sz w:val="20"/>
        <w:szCs w:val="20"/>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B8F" w:rsidRDefault="00803B8F" w:rsidP="00713D9C">
      <w:pPr>
        <w:spacing w:after="0" w:line="240" w:lineRule="auto"/>
      </w:pPr>
      <w:r>
        <w:separator/>
      </w:r>
    </w:p>
  </w:footnote>
  <w:footnote w:type="continuationSeparator" w:id="0">
    <w:p w:rsidR="00803B8F" w:rsidRDefault="00803B8F" w:rsidP="00713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777" w:rsidRPr="00370104" w:rsidRDefault="0006772B" w:rsidP="00C1656C">
    <w:pPr>
      <w:pStyle w:val="Kopfzeile"/>
      <w:tabs>
        <w:tab w:val="clear" w:pos="4536"/>
        <w:tab w:val="clear" w:pos="9072"/>
        <w:tab w:val="center" w:pos="4820"/>
        <w:tab w:val="right" w:pos="9638"/>
      </w:tabs>
      <w:rPr>
        <w:rFonts w:ascii="Tahoma" w:hAnsi="Tahoma" w:cs="Tahoma"/>
        <w:sz w:val="20"/>
        <w:szCs w:val="20"/>
      </w:rPr>
    </w:pPr>
    <w:r w:rsidRPr="00370104">
      <w:rPr>
        <w:rFonts w:ascii="Tahoma" w:hAnsi="Tahoma" w:cs="Tahoma"/>
        <w:sz w:val="20"/>
        <w:szCs w:val="20"/>
      </w:rPr>
      <w:t>BB Baden</w:t>
    </w:r>
    <w:r w:rsidRPr="00370104">
      <w:rPr>
        <w:rFonts w:ascii="Tahoma" w:hAnsi="Tahoma" w:cs="Tahoma"/>
        <w:sz w:val="20"/>
        <w:szCs w:val="20"/>
      </w:rPr>
      <w:tab/>
    </w:r>
    <w:r w:rsidR="004C3C70">
      <w:rPr>
        <w:rFonts w:ascii="Tahoma" w:hAnsi="Tahoma" w:cs="Tahoma"/>
        <w:sz w:val="20"/>
        <w:szCs w:val="20"/>
      </w:rPr>
      <w:t>Wicki, Winter, Schäfli, Müller</w:t>
    </w:r>
    <w:r>
      <w:rPr>
        <w:rFonts w:ascii="Tahoma" w:hAnsi="Tahoma" w:cs="Tahoma"/>
        <w:sz w:val="20"/>
        <w:szCs w:val="20"/>
      </w:rPr>
      <w:tab/>
      <w:t>W</w:t>
    </w:r>
    <w:r w:rsidR="00CE68A3">
      <w:rPr>
        <w:rFonts w:ascii="Tahoma" w:hAnsi="Tahoma" w:cs="Tahoma"/>
        <w:sz w:val="20"/>
        <w:szCs w:val="20"/>
      </w:rPr>
      <w:t>+</w:t>
    </w:r>
    <w:r>
      <w:rPr>
        <w:rFonts w:ascii="Tahoma" w:hAnsi="Tahoma" w:cs="Tahoma"/>
        <w:sz w:val="20"/>
        <w:szCs w:val="20"/>
      </w:rPr>
      <w:t>R</w:t>
    </w:r>
    <w:r w:rsidRPr="00370104">
      <w:rPr>
        <w:rFonts w:ascii="Tahoma" w:hAnsi="Tahoma" w:cs="Tahoma"/>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F101E"/>
    <w:multiLevelType w:val="hybridMultilevel"/>
    <w:tmpl w:val="1C94CCD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225257D3"/>
    <w:multiLevelType w:val="hybridMultilevel"/>
    <w:tmpl w:val="1354DB0C"/>
    <w:lvl w:ilvl="0" w:tplc="08070019">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30323500"/>
    <w:multiLevelType w:val="hybridMultilevel"/>
    <w:tmpl w:val="56BE1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11915"/>
    <w:multiLevelType w:val="hybridMultilevel"/>
    <w:tmpl w:val="CA64039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48FB7A16"/>
    <w:multiLevelType w:val="hybridMultilevel"/>
    <w:tmpl w:val="F3A48876"/>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4A5857A2"/>
    <w:multiLevelType w:val="hybridMultilevel"/>
    <w:tmpl w:val="D36ED82C"/>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5F2E31D4"/>
    <w:multiLevelType w:val="hybridMultilevel"/>
    <w:tmpl w:val="7DA8FF9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6C80466F"/>
    <w:multiLevelType w:val="hybridMultilevel"/>
    <w:tmpl w:val="8DFC7C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1E76A3C"/>
    <w:multiLevelType w:val="hybridMultilevel"/>
    <w:tmpl w:val="F24AAD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3AF4207"/>
    <w:multiLevelType w:val="hybridMultilevel"/>
    <w:tmpl w:val="545007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5"/>
  </w:num>
  <w:num w:numId="5">
    <w:abstractNumId w:val="4"/>
  </w:num>
  <w:num w:numId="6">
    <w:abstractNumId w:val="0"/>
  </w:num>
  <w:num w:numId="7">
    <w:abstractNumId w:val="1"/>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A0"/>
    <w:rsid w:val="000129A0"/>
    <w:rsid w:val="0002006D"/>
    <w:rsid w:val="00031A0D"/>
    <w:rsid w:val="00033852"/>
    <w:rsid w:val="00040E39"/>
    <w:rsid w:val="0006772B"/>
    <w:rsid w:val="000703CE"/>
    <w:rsid w:val="00085D0A"/>
    <w:rsid w:val="0013374C"/>
    <w:rsid w:val="00172685"/>
    <w:rsid w:val="00173FAC"/>
    <w:rsid w:val="00190441"/>
    <w:rsid w:val="001C693D"/>
    <w:rsid w:val="00266A3E"/>
    <w:rsid w:val="002F128B"/>
    <w:rsid w:val="00314C09"/>
    <w:rsid w:val="00326E83"/>
    <w:rsid w:val="00360A65"/>
    <w:rsid w:val="00365B84"/>
    <w:rsid w:val="0038252E"/>
    <w:rsid w:val="00384D31"/>
    <w:rsid w:val="003B3DDA"/>
    <w:rsid w:val="003D64C0"/>
    <w:rsid w:val="0042065A"/>
    <w:rsid w:val="00434D4A"/>
    <w:rsid w:val="00461DB3"/>
    <w:rsid w:val="004640DF"/>
    <w:rsid w:val="00474213"/>
    <w:rsid w:val="00495DDD"/>
    <w:rsid w:val="004C3C70"/>
    <w:rsid w:val="004E62EC"/>
    <w:rsid w:val="004E6F06"/>
    <w:rsid w:val="004F4A59"/>
    <w:rsid w:val="00565EDE"/>
    <w:rsid w:val="006056FE"/>
    <w:rsid w:val="00625B74"/>
    <w:rsid w:val="00640970"/>
    <w:rsid w:val="00682298"/>
    <w:rsid w:val="006E2B73"/>
    <w:rsid w:val="00713D9C"/>
    <w:rsid w:val="00731EFF"/>
    <w:rsid w:val="007412D3"/>
    <w:rsid w:val="00755227"/>
    <w:rsid w:val="00774454"/>
    <w:rsid w:val="007A3DB9"/>
    <w:rsid w:val="007B73C3"/>
    <w:rsid w:val="007D3999"/>
    <w:rsid w:val="00803B8F"/>
    <w:rsid w:val="0084528E"/>
    <w:rsid w:val="00857DE3"/>
    <w:rsid w:val="008609E1"/>
    <w:rsid w:val="0089755D"/>
    <w:rsid w:val="008F6D4A"/>
    <w:rsid w:val="009222D0"/>
    <w:rsid w:val="009241A7"/>
    <w:rsid w:val="00951B3C"/>
    <w:rsid w:val="009D082A"/>
    <w:rsid w:val="009F3F90"/>
    <w:rsid w:val="00A31313"/>
    <w:rsid w:val="00A408E9"/>
    <w:rsid w:val="00A80E77"/>
    <w:rsid w:val="00A87314"/>
    <w:rsid w:val="00A87754"/>
    <w:rsid w:val="00A87C03"/>
    <w:rsid w:val="00AD16FD"/>
    <w:rsid w:val="00AE2436"/>
    <w:rsid w:val="00B1359F"/>
    <w:rsid w:val="00BB3CE6"/>
    <w:rsid w:val="00BB4196"/>
    <w:rsid w:val="00C128A0"/>
    <w:rsid w:val="00C37CCE"/>
    <w:rsid w:val="00C723DC"/>
    <w:rsid w:val="00CA0F30"/>
    <w:rsid w:val="00CE3989"/>
    <w:rsid w:val="00CE68A3"/>
    <w:rsid w:val="00D77B4E"/>
    <w:rsid w:val="00E178D8"/>
    <w:rsid w:val="00E33F71"/>
    <w:rsid w:val="00E42462"/>
    <w:rsid w:val="00E47069"/>
    <w:rsid w:val="00E52D3F"/>
    <w:rsid w:val="00E7641F"/>
    <w:rsid w:val="00E91D27"/>
    <w:rsid w:val="00EA75C3"/>
    <w:rsid w:val="00F04EED"/>
    <w:rsid w:val="00F13691"/>
    <w:rsid w:val="00F24840"/>
    <w:rsid w:val="00F2558F"/>
    <w:rsid w:val="00F2698E"/>
    <w:rsid w:val="00F82519"/>
    <w:rsid w:val="00F847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FFDBF-399D-43F0-84BD-8FF82409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29A0"/>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012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29A0"/>
  </w:style>
  <w:style w:type="paragraph" w:styleId="Kopfzeile">
    <w:name w:val="header"/>
    <w:basedOn w:val="Standard"/>
    <w:link w:val="KopfzeileZchn"/>
    <w:uiPriority w:val="99"/>
    <w:unhideWhenUsed/>
    <w:rsid w:val="00012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29A0"/>
  </w:style>
  <w:style w:type="paragraph" w:styleId="Listenabsatz">
    <w:name w:val="List Paragraph"/>
    <w:basedOn w:val="Standard"/>
    <w:uiPriority w:val="34"/>
    <w:qFormat/>
    <w:rsid w:val="000129A0"/>
    <w:pPr>
      <w:ind w:left="720"/>
      <w:contextualSpacing/>
    </w:pPr>
  </w:style>
  <w:style w:type="character" w:styleId="Hyperlink">
    <w:name w:val="Hyperlink"/>
    <w:basedOn w:val="Absatz-Standardschriftart"/>
    <w:uiPriority w:val="99"/>
    <w:unhideWhenUsed/>
    <w:rsid w:val="0038252E"/>
    <w:rPr>
      <w:color w:val="0563C1" w:themeColor="hyperlink"/>
      <w:u w:val="single"/>
    </w:rPr>
  </w:style>
  <w:style w:type="table" w:styleId="Tabellenraster">
    <w:name w:val="Table Grid"/>
    <w:basedOn w:val="NormaleTabelle"/>
    <w:uiPriority w:val="39"/>
    <w:rsid w:val="007D3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BB3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8</cp:revision>
  <dcterms:created xsi:type="dcterms:W3CDTF">2017-10-24T19:51:00Z</dcterms:created>
  <dcterms:modified xsi:type="dcterms:W3CDTF">2017-11-01T12:49:00Z</dcterms:modified>
</cp:coreProperties>
</file>