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76" w:rsidRDefault="006E763E">
      <w:r>
        <w:rPr>
          <w:b/>
        </w:rPr>
        <w:t>Vertragsmängel/</w:t>
      </w:r>
      <w:r w:rsidR="00D66208" w:rsidRPr="00B457EF">
        <w:rPr>
          <w:b/>
        </w:rPr>
        <w:t>Nichtige und anfechtbare Verträge</w:t>
      </w:r>
    </w:p>
    <w:p w:rsidR="00D66208" w:rsidRDefault="004C50C3">
      <w:r>
        <w:t xml:space="preserve">Kreuzen Sie an, was auf einen Vertrag zutrifft. Geben Sie auch den Rechtsgrund an, der Sie </w:t>
      </w:r>
      <w:r w:rsidR="001C1594">
        <w:t xml:space="preserve">zu Ihrer Antwort veranlasst hat sowie die gesetzliche Grundlage. </w:t>
      </w:r>
    </w:p>
    <w:p w:rsidR="00D66208" w:rsidRDefault="00D66208" w:rsidP="004C50C3">
      <w:pPr>
        <w:pStyle w:val="Listenabsatz"/>
        <w:ind w:left="360"/>
      </w:pP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2739"/>
        <w:gridCol w:w="758"/>
        <w:gridCol w:w="676"/>
        <w:gridCol w:w="819"/>
        <w:gridCol w:w="2091"/>
        <w:gridCol w:w="2835"/>
      </w:tblGrid>
      <w:tr w:rsidR="005C581F" w:rsidTr="005C581F">
        <w:tc>
          <w:tcPr>
            <w:tcW w:w="2739" w:type="dxa"/>
          </w:tcPr>
          <w:p w:rsidR="001C1594" w:rsidRDefault="001C1594" w:rsidP="00D66208"/>
        </w:tc>
        <w:tc>
          <w:tcPr>
            <w:tcW w:w="758" w:type="dxa"/>
          </w:tcPr>
          <w:p w:rsidR="001C1594" w:rsidRDefault="001C1594" w:rsidP="00D66208">
            <w:r>
              <w:t>gültig</w:t>
            </w:r>
          </w:p>
        </w:tc>
        <w:tc>
          <w:tcPr>
            <w:tcW w:w="676" w:type="dxa"/>
          </w:tcPr>
          <w:p w:rsidR="005C581F" w:rsidRDefault="005C581F" w:rsidP="00D66208">
            <w:proofErr w:type="spellStart"/>
            <w:r>
              <w:t>A</w:t>
            </w:r>
            <w:r w:rsidR="001C1594">
              <w:t>nf</w:t>
            </w:r>
            <w:proofErr w:type="spellEnd"/>
            <w:r>
              <w:t>-e</w:t>
            </w:r>
            <w:r w:rsidR="001C1594">
              <w:t>cht</w:t>
            </w:r>
            <w:r>
              <w:t>-</w:t>
            </w:r>
          </w:p>
          <w:p w:rsidR="001C1594" w:rsidRDefault="001C1594" w:rsidP="00D66208">
            <w:r>
              <w:t>bar</w:t>
            </w:r>
          </w:p>
        </w:tc>
        <w:tc>
          <w:tcPr>
            <w:tcW w:w="819" w:type="dxa"/>
          </w:tcPr>
          <w:p w:rsidR="001C1594" w:rsidRDefault="001C1594" w:rsidP="00D66208">
            <w:r>
              <w:t>nichtig</w:t>
            </w:r>
          </w:p>
        </w:tc>
        <w:tc>
          <w:tcPr>
            <w:tcW w:w="2091" w:type="dxa"/>
          </w:tcPr>
          <w:p w:rsidR="001C1594" w:rsidRDefault="001C1594" w:rsidP="00D66208">
            <w:r>
              <w:t>Rechtsgrund</w:t>
            </w:r>
          </w:p>
        </w:tc>
        <w:tc>
          <w:tcPr>
            <w:tcW w:w="2835" w:type="dxa"/>
          </w:tcPr>
          <w:p w:rsidR="001C1594" w:rsidRDefault="001C1594" w:rsidP="00D66208">
            <w:r>
              <w:t>Artikel</w:t>
            </w:r>
          </w:p>
        </w:tc>
      </w:tr>
      <w:tr w:rsidR="005C581F" w:rsidTr="005C581F">
        <w:tc>
          <w:tcPr>
            <w:tcW w:w="2739" w:type="dxa"/>
          </w:tcPr>
          <w:p w:rsidR="001C1594" w:rsidRDefault="001C1594" w:rsidP="004C50C3">
            <w:r>
              <w:t>a) Eine ältere Person wird an der Haustür zum Kauf einer Rheumadecke für CHF 340.- überredet.</w:t>
            </w:r>
          </w:p>
        </w:tc>
        <w:tc>
          <w:tcPr>
            <w:tcW w:w="758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676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725446" w:rsidP="005C581F">
            <w:pPr>
              <w:rPr>
                <w:color w:val="FF0000"/>
              </w:rPr>
            </w:pPr>
            <w:r w:rsidRPr="005C581F">
              <w:rPr>
                <w:color w:val="FF0000"/>
              </w:rPr>
              <w:t>Gegenseitig</w:t>
            </w:r>
            <w:r w:rsidR="005C581F">
              <w:rPr>
                <w:color w:val="FF0000"/>
              </w:rPr>
              <w:t xml:space="preserve"> und ü</w:t>
            </w:r>
            <w:r w:rsidR="005C581F" w:rsidRPr="005C581F">
              <w:rPr>
                <w:color w:val="FF0000"/>
              </w:rPr>
              <w:t>bereinstimmende</w:t>
            </w:r>
            <w:r w:rsidRPr="005C581F">
              <w:rPr>
                <w:color w:val="FF0000"/>
              </w:rPr>
              <w:t xml:space="preserve"> Willensäusserung</w:t>
            </w:r>
          </w:p>
        </w:tc>
        <w:tc>
          <w:tcPr>
            <w:tcW w:w="2835" w:type="dxa"/>
          </w:tcPr>
          <w:p w:rsidR="001C1594" w:rsidRPr="005C581F" w:rsidRDefault="005C581F" w:rsidP="005C581F">
            <w:pPr>
              <w:rPr>
                <w:color w:val="FF0000"/>
              </w:rPr>
            </w:pPr>
            <w:r>
              <w:rPr>
                <w:color w:val="FF0000"/>
              </w:rPr>
              <w:t xml:space="preserve">Art. 1 Abs. 1 OR. Die </w:t>
            </w:r>
            <w:proofErr w:type="spellStart"/>
            <w:r>
              <w:rPr>
                <w:color w:val="FF0000"/>
              </w:rPr>
              <w:t>Dmae</w:t>
            </w:r>
            <w:proofErr w:type="spellEnd"/>
            <w:r>
              <w:rPr>
                <w:color w:val="FF0000"/>
              </w:rPr>
              <w:t xml:space="preserve"> könnte allerdings innerhalb 2 Wochen den Vertrag widerrufen, weil die Rheumadecke mehr als 100 CHF kostet und hier eine Haustürgeschäft vor liegt Art. 40 OR.</w:t>
            </w:r>
          </w:p>
        </w:tc>
      </w:tr>
      <w:tr w:rsidR="005C581F" w:rsidTr="005C581F">
        <w:tc>
          <w:tcPr>
            <w:tcW w:w="2739" w:type="dxa"/>
          </w:tcPr>
          <w:p w:rsidR="001C1594" w:rsidRDefault="001C1594" w:rsidP="00D66208">
            <w:r>
              <w:t>b) Der Vater verbürgt sich für seinen Sohn für  CHF 150 000.- mit einem schriftlichen Bürgschaftsvertrag.</w:t>
            </w:r>
          </w:p>
        </w:tc>
        <w:tc>
          <w:tcPr>
            <w:tcW w:w="758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676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819" w:type="dxa"/>
          </w:tcPr>
          <w:p w:rsidR="001C1594" w:rsidRPr="005C581F" w:rsidRDefault="005C581F" w:rsidP="00D66208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2091" w:type="dxa"/>
          </w:tcPr>
          <w:p w:rsidR="00B76D0C" w:rsidRDefault="00CD3957" w:rsidP="00D66208">
            <w:pPr>
              <w:rPr>
                <w:color w:val="FF0000"/>
              </w:rPr>
            </w:pPr>
            <w:r>
              <w:rPr>
                <w:color w:val="FF0000"/>
              </w:rPr>
              <w:t>Formfehler,</w:t>
            </w:r>
          </w:p>
          <w:p w:rsidR="001C1594" w:rsidRPr="005C581F" w:rsidRDefault="00B76D0C" w:rsidP="00D66208">
            <w:pPr>
              <w:rPr>
                <w:color w:val="FF0000"/>
              </w:rPr>
            </w:pPr>
            <w:r>
              <w:rPr>
                <w:color w:val="FF0000"/>
              </w:rPr>
              <w:t>Ü</w:t>
            </w:r>
            <w:bookmarkStart w:id="0" w:name="_GoBack"/>
            <w:bookmarkEnd w:id="0"/>
            <w:r w:rsidR="00CD3957">
              <w:rPr>
                <w:color w:val="FF0000"/>
              </w:rPr>
              <w:t>ber 2000Fr. braucht qualifizierte Schriftlichkeit</w:t>
            </w:r>
          </w:p>
        </w:tc>
        <w:tc>
          <w:tcPr>
            <w:tcW w:w="2835" w:type="dxa"/>
          </w:tcPr>
          <w:p w:rsidR="001C1594" w:rsidRPr="005C581F" w:rsidRDefault="00725446" w:rsidP="00CD3957">
            <w:pPr>
              <w:rPr>
                <w:color w:val="FF0000"/>
              </w:rPr>
            </w:pPr>
            <w:r w:rsidRPr="005C581F">
              <w:rPr>
                <w:color w:val="FF0000"/>
              </w:rPr>
              <w:t>Art. 49</w:t>
            </w:r>
            <w:r w:rsidR="00CD3957">
              <w:rPr>
                <w:color w:val="FF0000"/>
              </w:rPr>
              <w:t>3 Abs. 2</w:t>
            </w:r>
            <w:r w:rsidRPr="005C581F">
              <w:rPr>
                <w:color w:val="FF0000"/>
              </w:rPr>
              <w:t xml:space="preserve"> OR</w:t>
            </w:r>
          </w:p>
        </w:tc>
      </w:tr>
      <w:tr w:rsidR="005C581F" w:rsidTr="005C581F">
        <w:tc>
          <w:tcPr>
            <w:tcW w:w="2739" w:type="dxa"/>
          </w:tcPr>
          <w:p w:rsidR="001C1594" w:rsidRDefault="001C1594" w:rsidP="00D66208">
            <w:r>
              <w:t>c) Jemand wird unter starkem Druck zum Abschluss eines Kaufvertrages gezwungen</w:t>
            </w:r>
            <w:r w:rsidR="00F836C6">
              <w:t>.</w:t>
            </w:r>
          </w:p>
        </w:tc>
        <w:tc>
          <w:tcPr>
            <w:tcW w:w="758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676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Zwang</w:t>
            </w:r>
          </w:p>
        </w:tc>
        <w:tc>
          <w:tcPr>
            <w:tcW w:w="2835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Art.</w:t>
            </w:r>
            <w:r w:rsidR="005C581F">
              <w:rPr>
                <w:color w:val="FF0000"/>
              </w:rPr>
              <w:t xml:space="preserve"> </w:t>
            </w:r>
            <w:r w:rsidRPr="005C581F">
              <w:rPr>
                <w:color w:val="FF0000"/>
              </w:rPr>
              <w:t>29 Abs. 2 OR</w:t>
            </w:r>
          </w:p>
        </w:tc>
      </w:tr>
      <w:tr w:rsidR="005C581F" w:rsidTr="005C581F">
        <w:tc>
          <w:tcPr>
            <w:tcW w:w="2739" w:type="dxa"/>
          </w:tcPr>
          <w:p w:rsidR="001C1594" w:rsidRDefault="001C1594" w:rsidP="00D66208">
            <w:r>
              <w:t xml:space="preserve">d) Jemand kauft an der Haustür von einem unbekannten Teppichhändler gegen Barzahlung einen sogenannten echten Perserteppich, der sich später als billige Imitation erweist. </w:t>
            </w:r>
          </w:p>
        </w:tc>
        <w:tc>
          <w:tcPr>
            <w:tcW w:w="758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676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Absichtliche Täuschung</w:t>
            </w:r>
          </w:p>
        </w:tc>
        <w:tc>
          <w:tcPr>
            <w:tcW w:w="2835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</w:tr>
      <w:tr w:rsidR="005C581F" w:rsidTr="005C581F">
        <w:tc>
          <w:tcPr>
            <w:tcW w:w="2739" w:type="dxa"/>
          </w:tcPr>
          <w:p w:rsidR="001C1594" w:rsidRDefault="001C1594" w:rsidP="00D66208">
            <w:r>
              <w:t xml:space="preserve">e) Mit einer rechtsunkundigen und unbeholfenen </w:t>
            </w:r>
            <w:r w:rsidR="00635943">
              <w:t>Hilfskraft wird ein lebenslänglicher Arbeitsvertrag abgeschlossen.</w:t>
            </w:r>
          </w:p>
        </w:tc>
        <w:tc>
          <w:tcPr>
            <w:tcW w:w="758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676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</w:tr>
      <w:tr w:rsidR="005C581F" w:rsidTr="005C581F">
        <w:tc>
          <w:tcPr>
            <w:tcW w:w="2739" w:type="dxa"/>
          </w:tcPr>
          <w:p w:rsidR="001C1594" w:rsidRDefault="00635943" w:rsidP="00D66208">
            <w:r>
              <w:t xml:space="preserve">f) Ein Käufer einer Ware stellt nachträglich fest, dass sie sich nicht  so gut verkaufen lässt, wie er es sich vorgestellt hat. </w:t>
            </w:r>
          </w:p>
        </w:tc>
        <w:tc>
          <w:tcPr>
            <w:tcW w:w="758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676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>x</w:t>
            </w: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725446" w:rsidP="00D66208">
            <w:pPr>
              <w:rPr>
                <w:color w:val="FF0000"/>
              </w:rPr>
            </w:pPr>
            <w:r w:rsidRPr="005C581F">
              <w:rPr>
                <w:color w:val="FF0000"/>
              </w:rPr>
              <w:t xml:space="preserve">Wesentlicher Irrtum </w:t>
            </w:r>
          </w:p>
        </w:tc>
        <w:tc>
          <w:tcPr>
            <w:tcW w:w="2835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</w:tr>
      <w:tr w:rsidR="005C581F" w:rsidTr="005C581F">
        <w:tc>
          <w:tcPr>
            <w:tcW w:w="2739" w:type="dxa"/>
          </w:tcPr>
          <w:p w:rsidR="001C1594" w:rsidRDefault="00635943" w:rsidP="00D66208">
            <w:r>
              <w:t>g) Ein Buchhalter verschweigt bei der Anstellung eine vor kurzem ausgesprochene Strafe wegen Unterschlagung.</w:t>
            </w:r>
          </w:p>
        </w:tc>
        <w:tc>
          <w:tcPr>
            <w:tcW w:w="758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676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819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091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  <w:tc>
          <w:tcPr>
            <w:tcW w:w="2835" w:type="dxa"/>
          </w:tcPr>
          <w:p w:rsidR="001C1594" w:rsidRPr="005C581F" w:rsidRDefault="001C1594" w:rsidP="00D66208">
            <w:pPr>
              <w:rPr>
                <w:color w:val="FF0000"/>
              </w:rPr>
            </w:pPr>
          </w:p>
        </w:tc>
      </w:tr>
    </w:tbl>
    <w:p w:rsidR="00D66208" w:rsidRDefault="00D66208" w:rsidP="00D66208"/>
    <w:sectPr w:rsidR="00D662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589" w:rsidRDefault="00E21589" w:rsidP="006E763E">
      <w:pPr>
        <w:spacing w:after="0" w:line="240" w:lineRule="auto"/>
      </w:pPr>
      <w:r>
        <w:separator/>
      </w:r>
    </w:p>
  </w:endnote>
  <w:endnote w:type="continuationSeparator" w:id="0">
    <w:p w:rsidR="00E21589" w:rsidRDefault="00E21589" w:rsidP="006E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99" w:rsidRDefault="00FF189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63E" w:rsidRPr="003F10F7" w:rsidRDefault="00F836C6" w:rsidP="006E763E">
    <w:pPr>
      <w:pStyle w:val="Fuzeile"/>
      <w:pBdr>
        <w:top w:val="single" w:sz="4" w:space="1" w:color="auto"/>
      </w:pBdr>
      <w:jc w:val="cen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 \* MERGEFORMAT </w:instrText>
    </w:r>
    <w:r>
      <w:rPr>
        <w:sz w:val="18"/>
      </w:rPr>
      <w:fldChar w:fldCharType="separate"/>
    </w:r>
    <w:r>
      <w:rPr>
        <w:noProof/>
        <w:sz w:val="18"/>
      </w:rPr>
      <w:t>UE_Nichtige_und_anfechtbare_Verträge.docx</w:t>
    </w:r>
    <w:r>
      <w:rPr>
        <w:sz w:val="18"/>
      </w:rPr>
      <w:fldChar w:fldCharType="end"/>
    </w:r>
    <w:r w:rsidR="00FF1899">
      <w:rPr>
        <w:sz w:val="18"/>
      </w:rPr>
      <w:tab/>
      <w:t>November 2016</w:t>
    </w:r>
    <w:r>
      <w:rPr>
        <w:sz w:val="18"/>
      </w:rPr>
      <w:t xml:space="preserve"> SB</w:t>
    </w:r>
    <w:r w:rsidR="006E763E" w:rsidRPr="003F10F7">
      <w:rPr>
        <w:sz w:val="18"/>
      </w:rPr>
      <w:tab/>
    </w:r>
    <w:r w:rsidR="006E763E" w:rsidRPr="003F10F7">
      <w:rPr>
        <w:sz w:val="18"/>
      </w:rPr>
      <w:fldChar w:fldCharType="begin"/>
    </w:r>
    <w:r w:rsidR="006E763E" w:rsidRPr="003F10F7">
      <w:rPr>
        <w:sz w:val="18"/>
      </w:rPr>
      <w:instrText xml:space="preserve"> PAGE   \* MERGEFORMAT </w:instrText>
    </w:r>
    <w:r w:rsidR="006E763E" w:rsidRPr="003F10F7">
      <w:rPr>
        <w:sz w:val="18"/>
      </w:rPr>
      <w:fldChar w:fldCharType="separate"/>
    </w:r>
    <w:r w:rsidR="00B76D0C">
      <w:rPr>
        <w:noProof/>
        <w:sz w:val="18"/>
      </w:rPr>
      <w:t>2</w:t>
    </w:r>
    <w:r w:rsidR="006E763E" w:rsidRPr="003F10F7">
      <w:rPr>
        <w:sz w:val="18"/>
      </w:rPr>
      <w:fldChar w:fldCharType="end"/>
    </w:r>
    <w:r w:rsidR="006E763E" w:rsidRPr="003F10F7">
      <w:rPr>
        <w:sz w:val="18"/>
      </w:rPr>
      <w:t>/</w:t>
    </w:r>
    <w:fldSimple w:instr=" NUMPAGES   \* MERGEFORMAT ">
      <w:r w:rsidR="00B76D0C" w:rsidRPr="00B76D0C">
        <w:rPr>
          <w:noProof/>
          <w:sz w:val="18"/>
        </w:rPr>
        <w:t>2</w:t>
      </w:r>
    </w:fldSimple>
  </w:p>
  <w:p w:rsidR="006E763E" w:rsidRDefault="006E763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99" w:rsidRDefault="00FF189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589" w:rsidRDefault="00E21589" w:rsidP="006E763E">
      <w:pPr>
        <w:spacing w:after="0" w:line="240" w:lineRule="auto"/>
      </w:pPr>
      <w:r>
        <w:separator/>
      </w:r>
    </w:p>
  </w:footnote>
  <w:footnote w:type="continuationSeparator" w:id="0">
    <w:p w:rsidR="00E21589" w:rsidRDefault="00E21589" w:rsidP="006E7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99" w:rsidRDefault="00FF189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63E" w:rsidRPr="002626C0" w:rsidRDefault="006E763E" w:rsidP="006E763E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  <w:sz w:val="18"/>
        <w:szCs w:val="18"/>
      </w:rPr>
    </w:pPr>
    <w:r w:rsidRPr="002626C0">
      <w:rPr>
        <w:rFonts w:ascii="Verdana" w:hAnsi="Verdana"/>
        <w:sz w:val="18"/>
        <w:szCs w:val="18"/>
      </w:rPr>
      <w:t>BB</w:t>
    </w:r>
    <w:r w:rsidR="00F836C6">
      <w:rPr>
        <w:rFonts w:ascii="Verdana" w:hAnsi="Verdana"/>
        <w:sz w:val="18"/>
        <w:szCs w:val="18"/>
      </w:rPr>
      <w:t xml:space="preserve"> </w:t>
    </w:r>
    <w:r w:rsidRPr="002626C0">
      <w:rPr>
        <w:rFonts w:ascii="Verdana" w:hAnsi="Verdana"/>
        <w:sz w:val="18"/>
        <w:szCs w:val="18"/>
      </w:rPr>
      <w:t>Baden</w:t>
    </w:r>
    <w:r w:rsidRPr="002626C0">
      <w:rPr>
        <w:rFonts w:ascii="Verdana" w:hAnsi="Verdana"/>
        <w:sz w:val="18"/>
        <w:szCs w:val="18"/>
      </w:rPr>
      <w:tab/>
    </w:r>
    <w:r w:rsidR="00F836C6">
      <w:rPr>
        <w:rFonts w:ascii="Verdana" w:hAnsi="Verdana"/>
        <w:sz w:val="18"/>
        <w:szCs w:val="18"/>
      </w:rPr>
      <w:t>VBR</w:t>
    </w:r>
    <w:r w:rsidR="00F836C6">
      <w:rPr>
        <w:rFonts w:ascii="Verdana" w:hAnsi="Verdana"/>
        <w:sz w:val="18"/>
        <w:szCs w:val="18"/>
      </w:rPr>
      <w:tab/>
      <w:t>BM</w:t>
    </w:r>
  </w:p>
  <w:p w:rsidR="006E763E" w:rsidRDefault="006E763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899" w:rsidRDefault="00FF189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41762"/>
    <w:multiLevelType w:val="hybridMultilevel"/>
    <w:tmpl w:val="6D86200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A71360"/>
    <w:multiLevelType w:val="hybridMultilevel"/>
    <w:tmpl w:val="A50064B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B3F03"/>
    <w:multiLevelType w:val="hybridMultilevel"/>
    <w:tmpl w:val="DF66D2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08"/>
    <w:rsid w:val="000E61CF"/>
    <w:rsid w:val="001C1594"/>
    <w:rsid w:val="002B6A72"/>
    <w:rsid w:val="004C50C3"/>
    <w:rsid w:val="005A4DF4"/>
    <w:rsid w:val="005C581F"/>
    <w:rsid w:val="00635943"/>
    <w:rsid w:val="006D3533"/>
    <w:rsid w:val="006E763E"/>
    <w:rsid w:val="00725446"/>
    <w:rsid w:val="00877F8B"/>
    <w:rsid w:val="00B457EF"/>
    <w:rsid w:val="00B76D0C"/>
    <w:rsid w:val="00C47576"/>
    <w:rsid w:val="00CD3957"/>
    <w:rsid w:val="00D66208"/>
    <w:rsid w:val="00E21589"/>
    <w:rsid w:val="00E274E7"/>
    <w:rsid w:val="00F836C6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82457D3-126E-4444-A1F1-D5451B4E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6208"/>
    <w:pPr>
      <w:ind w:left="720"/>
      <w:contextualSpacing/>
    </w:pPr>
  </w:style>
  <w:style w:type="table" w:styleId="Tabellenraster">
    <w:name w:val="Table Grid"/>
    <w:basedOn w:val="NormaleTabelle"/>
    <w:uiPriority w:val="59"/>
    <w:rsid w:val="00D6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E7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763E"/>
  </w:style>
  <w:style w:type="paragraph" w:styleId="Fuzeile">
    <w:name w:val="footer"/>
    <w:basedOn w:val="Standard"/>
    <w:link w:val="FuzeileZchn"/>
    <w:uiPriority w:val="99"/>
    <w:unhideWhenUsed/>
    <w:rsid w:val="006E7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763E"/>
  </w:style>
  <w:style w:type="paragraph" w:customStyle="1" w:styleId="Kopfzeile1">
    <w:name w:val="Kopfzeile1"/>
    <w:basedOn w:val="Standard"/>
    <w:qFormat/>
    <w:rsid w:val="006E763E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eastAsia="de-CH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5</cp:revision>
  <dcterms:created xsi:type="dcterms:W3CDTF">2017-12-06T13:26:00Z</dcterms:created>
  <dcterms:modified xsi:type="dcterms:W3CDTF">2017-12-06T13:44:00Z</dcterms:modified>
</cp:coreProperties>
</file>