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43" w:rsidRDefault="002E0643" w:rsidP="00937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24D2D3C" wp14:editId="75CD4876">
            <wp:simplePos x="0" y="0"/>
            <wp:positionH relativeFrom="column">
              <wp:posOffset>4359275</wp:posOffset>
            </wp:positionH>
            <wp:positionV relativeFrom="paragraph">
              <wp:posOffset>173</wp:posOffset>
            </wp:positionV>
            <wp:extent cx="19621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90" y="21207"/>
                <wp:lineTo x="21390" y="0"/>
                <wp:lineTo x="0" y="0"/>
              </wp:wrapPolygon>
            </wp:wrapTight>
            <wp:docPr id="10" name="Grafik 10" descr="BBB_25%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_25%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F3F" w:rsidRPr="00054DF5">
        <w:rPr>
          <w:rFonts w:ascii="Tahoma" w:hAnsi="Tahoma" w:cs="Tahoma"/>
          <w:color w:val="8496B0" w:themeColor="text2" w:themeTint="99"/>
          <w:sz w:val="36"/>
          <w:szCs w:val="36"/>
        </w:rPr>
        <w:t>Folgen der Finanzkrise 10 Jahren danach</w:t>
      </w:r>
      <w:r w:rsidR="00867F3F">
        <w:rPr>
          <w:rFonts w:ascii="Tahoma" w:hAnsi="Tahoma" w:cs="Tahoma"/>
          <w:color w:val="8496B0" w:themeColor="text2" w:themeTint="99"/>
          <w:sz w:val="36"/>
          <w:szCs w:val="36"/>
        </w:rPr>
        <w:t>!</w:t>
      </w:r>
      <w:r w:rsidR="00867F3F" w:rsidRPr="00054DF5">
        <w:rPr>
          <w:rFonts w:ascii="Tahoma" w:hAnsi="Tahoma" w:cs="Tahoma"/>
          <w:sz w:val="24"/>
          <w:szCs w:val="24"/>
        </w:rPr>
        <w:br/>
      </w:r>
    </w:p>
    <w:p w:rsidR="0093710B" w:rsidRPr="0093710B" w:rsidRDefault="00867F3F" w:rsidP="009371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de-CH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de-CH"/>
        </w:rPr>
        <w:t xml:space="preserve">Teil 1: </w:t>
      </w:r>
      <w:r w:rsidR="00812D0B">
        <w:rPr>
          <w:rFonts w:ascii="Arial" w:eastAsia="Times New Roman" w:hAnsi="Arial" w:cs="Arial"/>
          <w:b/>
          <w:bCs/>
          <w:sz w:val="27"/>
          <w:szCs w:val="27"/>
          <w:lang w:eastAsia="de-CH"/>
        </w:rPr>
        <w:t>Wechselkurse</w:t>
      </w:r>
      <w:r w:rsidR="002E0643" w:rsidRPr="00812D0B">
        <w:rPr>
          <w:rFonts w:ascii="Arial" w:eastAsia="Times New Roman" w:hAnsi="Arial" w:cs="Arial"/>
          <w:b/>
          <w:bCs/>
          <w:sz w:val="27"/>
          <w:szCs w:val="27"/>
          <w:lang w:eastAsia="de-CH"/>
        </w:rPr>
        <w:tab/>
      </w:r>
    </w:p>
    <w:p w:rsidR="0093710B" w:rsidRPr="002E0643" w:rsidRDefault="0093710B" w:rsidP="002E0643">
      <w:pPr>
        <w:spacing w:after="0" w:line="240" w:lineRule="auto"/>
        <w:jc w:val="both"/>
        <w:rPr>
          <w:rFonts w:ascii="Arial" w:eastAsia="Times New Roman" w:hAnsi="Arial" w:cs="Arial"/>
          <w:szCs w:val="20"/>
          <w:lang w:val="de-DE" w:eastAsia="de-DE"/>
        </w:rPr>
      </w:pPr>
    </w:p>
    <w:p w:rsidR="0093710B" w:rsidRPr="002E0643" w:rsidRDefault="0093710B" w:rsidP="002E0643">
      <w:pPr>
        <w:spacing w:after="0" w:line="240" w:lineRule="auto"/>
        <w:jc w:val="both"/>
        <w:rPr>
          <w:rFonts w:ascii="Arial" w:eastAsia="Times New Roman" w:hAnsi="Arial" w:cs="Arial"/>
          <w:b/>
          <w:szCs w:val="20"/>
          <w:lang w:val="de-DE" w:eastAsia="de-DE"/>
        </w:rPr>
      </w:pPr>
      <w:r w:rsidRPr="002E0643">
        <w:rPr>
          <w:rFonts w:ascii="Arial" w:eastAsia="Times New Roman" w:hAnsi="Arial" w:cs="Arial"/>
          <w:b/>
          <w:szCs w:val="20"/>
          <w:lang w:val="de-DE" w:eastAsia="de-DE"/>
        </w:rPr>
        <w:t>Quellen</w:t>
      </w:r>
    </w:p>
    <w:p w:rsidR="0093710B" w:rsidRPr="002E0643" w:rsidRDefault="0093710B" w:rsidP="002E0643">
      <w:pPr>
        <w:pStyle w:val="Listenabsatz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Cs w:val="20"/>
          <w:lang w:val="de-DE" w:eastAsia="de-DE"/>
        </w:rPr>
      </w:pPr>
      <w:r w:rsidRPr="002E0643">
        <w:rPr>
          <w:rFonts w:ascii="Arial" w:eastAsia="Times New Roman" w:hAnsi="Arial" w:cs="Arial"/>
          <w:szCs w:val="20"/>
          <w:lang w:val="de-DE" w:eastAsia="de-DE"/>
        </w:rPr>
        <w:t>Lehrmittel Kapitel 4.4. Wechselkurs</w:t>
      </w:r>
    </w:p>
    <w:p w:rsidR="0093710B" w:rsidRDefault="007971FE" w:rsidP="007971FE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Cs w:val="20"/>
          <w:lang w:val="de-DE" w:eastAsia="de-DE"/>
        </w:rPr>
      </w:pPr>
      <w:r>
        <w:rPr>
          <w:rFonts w:ascii="Arial" w:eastAsia="Times New Roman" w:hAnsi="Arial" w:cs="Arial"/>
          <w:szCs w:val="20"/>
          <w:lang w:val="de-DE" w:eastAsia="de-DE"/>
        </w:rPr>
        <w:t xml:space="preserve">Beitrag SRF </w:t>
      </w:r>
      <w:r w:rsidR="0093710B" w:rsidRPr="007971FE">
        <w:rPr>
          <w:rFonts w:ascii="Arial" w:eastAsia="Times New Roman" w:hAnsi="Arial" w:cs="Arial"/>
          <w:szCs w:val="20"/>
          <w:lang w:val="de-DE" w:eastAsia="de-DE"/>
        </w:rPr>
        <w:t>Eco</w:t>
      </w:r>
      <w:r w:rsidR="00FD2C71">
        <w:rPr>
          <w:rFonts w:ascii="Arial" w:eastAsia="Times New Roman" w:hAnsi="Arial" w:cs="Arial"/>
          <w:szCs w:val="20"/>
          <w:lang w:val="de-DE" w:eastAsia="de-DE"/>
        </w:rPr>
        <w:t xml:space="preserve"> 19</w:t>
      </w:r>
      <w:r w:rsidR="002E0643" w:rsidRPr="007971FE">
        <w:rPr>
          <w:rFonts w:ascii="Arial" w:eastAsia="Times New Roman" w:hAnsi="Arial" w:cs="Arial"/>
          <w:szCs w:val="20"/>
          <w:lang w:val="de-DE" w:eastAsia="de-DE"/>
        </w:rPr>
        <w:t xml:space="preserve">.1.2018 (Interview und Text): </w:t>
      </w:r>
      <w:hyperlink r:id="rId8" w:history="1">
        <w:r w:rsidR="0053199B" w:rsidRPr="00670A97">
          <w:rPr>
            <w:rStyle w:val="Hyperlink"/>
            <w:rFonts w:ascii="Arial" w:eastAsia="Times New Roman" w:hAnsi="Arial" w:cs="Arial"/>
            <w:szCs w:val="20"/>
            <w:lang w:val="de-DE" w:eastAsia="de-DE"/>
          </w:rPr>
          <w:t>https://www.srf.ch/news/wirtschaft/drei-jahre-mindestkurs-ende-snb-praesident-1schweiz-vor-</w:t>
        </w:r>
        <w:r w:rsidR="0053199B" w:rsidRPr="00670A97">
          <w:rPr>
            <w:rStyle w:val="Hyperlink"/>
            <w:rFonts w:ascii="Arial" w:eastAsia="Times New Roman" w:hAnsi="Arial" w:cs="Arial"/>
            <w:szCs w:val="20"/>
            <w:lang w:val="de-DE" w:eastAsia="de-DE"/>
          </w:rPr>
          <w:t>v</w:t>
        </w:r>
        <w:r w:rsidR="0053199B" w:rsidRPr="00670A97">
          <w:rPr>
            <w:rStyle w:val="Hyperlink"/>
            <w:rFonts w:ascii="Arial" w:eastAsia="Times New Roman" w:hAnsi="Arial" w:cs="Arial"/>
            <w:szCs w:val="20"/>
            <w:lang w:val="de-DE" w:eastAsia="de-DE"/>
          </w:rPr>
          <w:t>erhee</w:t>
        </w:r>
        <w:r w:rsidR="0053199B" w:rsidRPr="00670A97">
          <w:rPr>
            <w:rStyle w:val="Hyperlink"/>
            <w:rFonts w:ascii="Arial" w:eastAsia="Times New Roman" w:hAnsi="Arial" w:cs="Arial"/>
            <w:szCs w:val="20"/>
            <w:lang w:val="de-DE" w:eastAsia="de-DE"/>
          </w:rPr>
          <w:t>r</w:t>
        </w:r>
        <w:r w:rsidR="0053199B" w:rsidRPr="00670A97">
          <w:rPr>
            <w:rStyle w:val="Hyperlink"/>
            <w:rFonts w:ascii="Arial" w:eastAsia="Times New Roman" w:hAnsi="Arial" w:cs="Arial"/>
            <w:szCs w:val="20"/>
            <w:lang w:val="de-DE" w:eastAsia="de-DE"/>
          </w:rPr>
          <w:t>enden-folgen-bewahrt</w:t>
        </w:r>
      </w:hyperlink>
    </w:p>
    <w:p w:rsidR="003544F9" w:rsidRDefault="003544F9" w:rsidP="003544F9">
      <w:pPr>
        <w:spacing w:after="0" w:line="240" w:lineRule="auto"/>
        <w:rPr>
          <w:rFonts w:ascii="Arial" w:eastAsia="Times New Roman" w:hAnsi="Arial" w:cs="Arial"/>
          <w:szCs w:val="20"/>
          <w:lang w:val="de-DE" w:eastAsia="de-DE"/>
        </w:rPr>
      </w:pPr>
    </w:p>
    <w:p w:rsidR="003544F9" w:rsidRPr="003544F9" w:rsidRDefault="003544F9" w:rsidP="003544F9">
      <w:pPr>
        <w:spacing w:after="0" w:line="240" w:lineRule="auto"/>
        <w:rPr>
          <w:rFonts w:ascii="Arial" w:eastAsia="Times New Roman" w:hAnsi="Arial" w:cs="Arial"/>
          <w:szCs w:val="20"/>
          <w:lang w:val="de-DE" w:eastAsia="de-DE"/>
        </w:rPr>
      </w:pPr>
      <w:proofErr w:type="spellStart"/>
      <w:r>
        <w:rPr>
          <w:rFonts w:ascii="Arial" w:eastAsia="Times New Roman" w:hAnsi="Arial" w:cs="Arial"/>
          <w:szCs w:val="20"/>
          <w:lang w:val="de-DE" w:eastAsia="de-DE"/>
        </w:rPr>
        <w:t>Zeitgefäss</w:t>
      </w:r>
      <w:proofErr w:type="spellEnd"/>
      <w:r>
        <w:rPr>
          <w:rFonts w:ascii="Arial" w:eastAsia="Times New Roman" w:hAnsi="Arial" w:cs="Arial"/>
          <w:szCs w:val="20"/>
          <w:lang w:val="de-DE" w:eastAsia="de-DE"/>
        </w:rPr>
        <w:t>: Eco-Talk 9 ½ Min. / Studium Text und Fragen 1-6</w:t>
      </w:r>
      <w:r w:rsidR="00B25D8F">
        <w:rPr>
          <w:rFonts w:ascii="Arial" w:eastAsia="Times New Roman" w:hAnsi="Arial" w:cs="Arial"/>
          <w:szCs w:val="20"/>
          <w:lang w:val="de-DE" w:eastAsia="de-DE"/>
        </w:rPr>
        <w:t xml:space="preserve"> beantworten 20</w:t>
      </w:r>
      <w:r>
        <w:rPr>
          <w:rFonts w:ascii="Arial" w:eastAsia="Times New Roman" w:hAnsi="Arial" w:cs="Arial"/>
          <w:szCs w:val="20"/>
          <w:lang w:val="de-DE" w:eastAsia="de-DE"/>
        </w:rPr>
        <w:t xml:space="preserve"> Min. </w:t>
      </w:r>
    </w:p>
    <w:p w:rsidR="007971FE" w:rsidRDefault="007971FE" w:rsidP="007971FE">
      <w:pPr>
        <w:pStyle w:val="Listenabsatz"/>
        <w:spacing w:after="0" w:line="240" w:lineRule="auto"/>
        <w:ind w:left="360"/>
        <w:jc w:val="both"/>
        <w:rPr>
          <w:rFonts w:ascii="Arial" w:eastAsia="Times New Roman" w:hAnsi="Arial" w:cs="Arial"/>
          <w:szCs w:val="20"/>
          <w:lang w:val="de-DE" w:eastAsia="de-DE"/>
        </w:rPr>
      </w:pPr>
    </w:p>
    <w:p w:rsidR="0093710B" w:rsidRDefault="00182F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Fragen: </w:t>
      </w:r>
    </w:p>
    <w:p w:rsidR="00FD2C71" w:rsidRPr="007971FE" w:rsidRDefault="00FD2C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Studium Beitrag SRF Eco 19.1.2018</w:t>
      </w:r>
    </w:p>
    <w:p w:rsidR="002E0643" w:rsidRDefault="002E0643" w:rsidP="007971FE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971FE">
        <w:rPr>
          <w:rFonts w:ascii="Arial" w:hAnsi="Arial" w:cs="Arial"/>
        </w:rPr>
        <w:t>Was sind Devisen?</w:t>
      </w:r>
    </w:p>
    <w:p w:rsidR="00B467AE" w:rsidRPr="00B467AE" w:rsidRDefault="00B467AE" w:rsidP="00B467AE">
      <w:pPr>
        <w:pStyle w:val="Listenabsatz"/>
        <w:ind w:left="360"/>
        <w:rPr>
          <w:rFonts w:ascii="Arial" w:hAnsi="Arial" w:cs="Arial"/>
          <w:color w:val="FF0000"/>
        </w:rPr>
      </w:pPr>
      <w:r w:rsidRPr="00B467AE">
        <w:rPr>
          <w:rFonts w:ascii="Arial" w:hAnsi="Arial" w:cs="Arial"/>
          <w:color w:val="FF0000"/>
        </w:rPr>
        <w:t>Zahlungsmittel in fremder Währung.</w:t>
      </w:r>
    </w:p>
    <w:p w:rsidR="002E0643" w:rsidRDefault="002E0643" w:rsidP="007971FE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971FE">
        <w:rPr>
          <w:rFonts w:ascii="Arial" w:hAnsi="Arial" w:cs="Arial"/>
        </w:rPr>
        <w:t>Was hat die SNB vor dem 15.1.2015 mit dem Wechselkurs CHF/Euro genau gemacht?</w:t>
      </w:r>
    </w:p>
    <w:p w:rsidR="00B467AE" w:rsidRPr="00B467AE" w:rsidRDefault="00B467AE" w:rsidP="00B467AE">
      <w:pPr>
        <w:pStyle w:val="Listenabsatz"/>
        <w:ind w:left="360"/>
        <w:rPr>
          <w:rFonts w:ascii="Arial" w:hAnsi="Arial" w:cs="Arial"/>
          <w:color w:val="FF0000"/>
        </w:rPr>
      </w:pPr>
      <w:r w:rsidRPr="00B467AE">
        <w:rPr>
          <w:rFonts w:ascii="Arial" w:hAnsi="Arial" w:cs="Arial"/>
          <w:color w:val="FF0000"/>
        </w:rPr>
        <w:t>Sie hat Euro gekauft damit der Wechselkurs bei mindestens 1.20 bleibt</w:t>
      </w:r>
      <w:r w:rsidR="0053199B">
        <w:rPr>
          <w:rFonts w:ascii="Arial" w:hAnsi="Arial" w:cs="Arial"/>
          <w:color w:val="FF0000"/>
        </w:rPr>
        <w:t>.</w:t>
      </w:r>
    </w:p>
    <w:p w:rsidR="002E0643" w:rsidRDefault="00DD7052" w:rsidP="007971FE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971FE">
        <w:rPr>
          <w:rFonts w:ascii="Arial" w:hAnsi="Arial" w:cs="Arial"/>
        </w:rPr>
        <w:t>Was ist nach dem 15.1.2015</w:t>
      </w:r>
      <w:r w:rsidR="002E0643" w:rsidRPr="007971FE">
        <w:rPr>
          <w:rFonts w:ascii="Arial" w:hAnsi="Arial" w:cs="Arial"/>
        </w:rPr>
        <w:t xml:space="preserve"> nach dem Entscheid der SNB an den Devisenmärkten passiert?</w:t>
      </w:r>
    </w:p>
    <w:p w:rsidR="00B467AE" w:rsidRPr="00B467AE" w:rsidRDefault="0053199B" w:rsidP="00B467AE">
      <w:pPr>
        <w:pStyle w:val="Listenabsatz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Der Schweizer Franken hat gegenüber dem Euro an Wert zugenommen. Beziehungswiese der Euro wurde günstiger im Verhältnis zum Schweizer Franken</w:t>
      </w:r>
      <w:r w:rsidR="00F45160">
        <w:rPr>
          <w:rFonts w:ascii="Arial" w:hAnsi="Arial" w:cs="Arial"/>
          <w:color w:val="FF0000"/>
        </w:rPr>
        <w:t>.. Das führt zu Verkäufen von Euro, weil die Anleger so ihren Wechselkursverluste aus dem Rückgang minimal halten.</w:t>
      </w:r>
    </w:p>
    <w:p w:rsidR="00812D0B" w:rsidRDefault="002E0643" w:rsidP="00811F39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812D0B">
        <w:rPr>
          <w:rFonts w:ascii="Arial" w:hAnsi="Arial" w:cs="Arial"/>
        </w:rPr>
        <w:t xml:space="preserve">Was hat die Auflösung des festen Wechselkurses von </w:t>
      </w:r>
      <w:r w:rsidR="00CD4093">
        <w:rPr>
          <w:rFonts w:ascii="Arial" w:hAnsi="Arial" w:cs="Arial"/>
        </w:rPr>
        <w:t xml:space="preserve">CHF </w:t>
      </w:r>
      <w:r w:rsidRPr="00812D0B">
        <w:rPr>
          <w:rFonts w:ascii="Arial" w:hAnsi="Arial" w:cs="Arial"/>
        </w:rPr>
        <w:t xml:space="preserve">1.20 </w:t>
      </w:r>
      <w:r w:rsidR="005B5AC1" w:rsidRPr="00812D0B">
        <w:rPr>
          <w:rFonts w:ascii="Arial" w:hAnsi="Arial" w:cs="Arial"/>
        </w:rPr>
        <w:t xml:space="preserve">in den folgenden Wirtschaftssektoren </w:t>
      </w:r>
      <w:r w:rsidRPr="00812D0B">
        <w:rPr>
          <w:rFonts w:ascii="Arial" w:hAnsi="Arial" w:cs="Arial"/>
        </w:rPr>
        <w:t xml:space="preserve">bewirkt? </w:t>
      </w:r>
      <w:r w:rsidR="005B5AC1" w:rsidRPr="00812D0B">
        <w:rPr>
          <w:rFonts w:ascii="Arial" w:hAnsi="Arial" w:cs="Arial"/>
        </w:rPr>
        <w:t xml:space="preserve">Ergänzen Sie die </w:t>
      </w:r>
      <w:r w:rsidRPr="00812D0B">
        <w:rPr>
          <w:rFonts w:ascii="Arial" w:hAnsi="Arial" w:cs="Arial"/>
        </w:rPr>
        <w:t xml:space="preserve">nachstehende Tabelle </w:t>
      </w:r>
      <w:r w:rsidR="005B5AC1" w:rsidRPr="00812D0B">
        <w:rPr>
          <w:rFonts w:ascii="Arial" w:hAnsi="Arial" w:cs="Arial"/>
        </w:rPr>
        <w:t xml:space="preserve">mit Hilfe des Internet-Links und dem Lehrmittel </w:t>
      </w:r>
      <w:r w:rsidRPr="00812D0B">
        <w:rPr>
          <w:rFonts w:ascii="Arial" w:hAnsi="Arial" w:cs="Arial"/>
        </w:rPr>
        <w:t>in Stichworten</w:t>
      </w:r>
      <w:r w:rsidR="00DD7052" w:rsidRPr="00812D0B">
        <w:rPr>
          <w:rFonts w:ascii="Arial" w:hAnsi="Arial" w:cs="Arial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6865"/>
      </w:tblGrid>
      <w:tr w:rsidR="002E0643" w:rsidRPr="007971FE" w:rsidTr="00FD2C71">
        <w:tc>
          <w:tcPr>
            <w:tcW w:w="2197" w:type="dxa"/>
            <w:shd w:val="clear" w:color="auto" w:fill="BFBFBF" w:themeFill="background1" w:themeFillShade="BF"/>
          </w:tcPr>
          <w:p w:rsidR="002E0643" w:rsidRPr="007971FE" w:rsidRDefault="000263B5">
            <w:pPr>
              <w:rPr>
                <w:rFonts w:ascii="Arial" w:hAnsi="Arial" w:cs="Arial"/>
                <w:b/>
              </w:rPr>
            </w:pPr>
            <w:r w:rsidRPr="007971FE">
              <w:rPr>
                <w:rFonts w:ascii="Arial" w:hAnsi="Arial" w:cs="Arial"/>
                <w:b/>
              </w:rPr>
              <w:t>Wirtschaftsbereich</w:t>
            </w:r>
          </w:p>
        </w:tc>
        <w:tc>
          <w:tcPr>
            <w:tcW w:w="6865" w:type="dxa"/>
            <w:shd w:val="clear" w:color="auto" w:fill="BFBFBF" w:themeFill="background1" w:themeFillShade="BF"/>
          </w:tcPr>
          <w:p w:rsidR="002E0643" w:rsidRPr="007971FE" w:rsidRDefault="000263B5">
            <w:pPr>
              <w:rPr>
                <w:rFonts w:ascii="Arial" w:hAnsi="Arial" w:cs="Arial"/>
                <w:b/>
              </w:rPr>
            </w:pPr>
            <w:r w:rsidRPr="007971FE">
              <w:rPr>
                <w:rFonts w:ascii="Arial" w:hAnsi="Arial" w:cs="Arial"/>
                <w:b/>
              </w:rPr>
              <w:t>Folgen der Auflösung</w:t>
            </w:r>
            <w:r w:rsidR="00812D0B">
              <w:rPr>
                <w:rFonts w:ascii="Arial" w:hAnsi="Arial" w:cs="Arial"/>
                <w:b/>
              </w:rPr>
              <w:t xml:space="preserve"> des Mindestkurses</w:t>
            </w:r>
          </w:p>
        </w:tc>
      </w:tr>
      <w:tr w:rsidR="002E0643" w:rsidRPr="007971FE" w:rsidTr="00FD2C71">
        <w:tc>
          <w:tcPr>
            <w:tcW w:w="2197" w:type="dxa"/>
          </w:tcPr>
          <w:p w:rsidR="002E0643" w:rsidRPr="007971FE" w:rsidRDefault="000263B5">
            <w:pPr>
              <w:rPr>
                <w:rFonts w:ascii="Arial" w:hAnsi="Arial" w:cs="Arial"/>
              </w:rPr>
            </w:pPr>
            <w:r w:rsidRPr="007971FE">
              <w:rPr>
                <w:rFonts w:ascii="Arial" w:hAnsi="Arial" w:cs="Arial"/>
              </w:rPr>
              <w:t>Importe</w:t>
            </w:r>
          </w:p>
        </w:tc>
        <w:tc>
          <w:tcPr>
            <w:tcW w:w="6865" w:type="dxa"/>
          </w:tcPr>
          <w:p w:rsidR="00FD2C71" w:rsidRPr="007971FE" w:rsidRDefault="00B467AE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Importprodukte waren billiger, Import stieg</w:t>
            </w:r>
          </w:p>
        </w:tc>
      </w:tr>
      <w:tr w:rsidR="002E0643" w:rsidRPr="007971FE" w:rsidTr="00FD2C71">
        <w:tc>
          <w:tcPr>
            <w:tcW w:w="2197" w:type="dxa"/>
          </w:tcPr>
          <w:p w:rsidR="002E0643" w:rsidRPr="007971FE" w:rsidRDefault="000263B5">
            <w:pPr>
              <w:rPr>
                <w:rFonts w:ascii="Arial" w:hAnsi="Arial" w:cs="Arial"/>
              </w:rPr>
            </w:pPr>
            <w:r w:rsidRPr="007971FE">
              <w:rPr>
                <w:rFonts w:ascii="Arial" w:hAnsi="Arial" w:cs="Arial"/>
              </w:rPr>
              <w:t>Exporte</w:t>
            </w:r>
          </w:p>
        </w:tc>
        <w:tc>
          <w:tcPr>
            <w:tcW w:w="6865" w:type="dxa"/>
          </w:tcPr>
          <w:p w:rsidR="00FD2C71" w:rsidRPr="007971FE" w:rsidRDefault="00B467AE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Export war teurere, Export sank</w:t>
            </w:r>
          </w:p>
        </w:tc>
      </w:tr>
      <w:tr w:rsidR="002E0643" w:rsidRPr="007971FE" w:rsidTr="00FD2C71">
        <w:tc>
          <w:tcPr>
            <w:tcW w:w="2197" w:type="dxa"/>
          </w:tcPr>
          <w:p w:rsidR="002E0643" w:rsidRPr="007971FE" w:rsidRDefault="000263B5">
            <w:pPr>
              <w:rPr>
                <w:rFonts w:ascii="Arial" w:hAnsi="Arial" w:cs="Arial"/>
              </w:rPr>
            </w:pPr>
            <w:r w:rsidRPr="007971FE">
              <w:rPr>
                <w:rFonts w:ascii="Arial" w:hAnsi="Arial" w:cs="Arial"/>
              </w:rPr>
              <w:t>Beschäftigung</w:t>
            </w:r>
          </w:p>
        </w:tc>
        <w:tc>
          <w:tcPr>
            <w:tcW w:w="6865" w:type="dxa"/>
          </w:tcPr>
          <w:p w:rsidR="00FD2C71" w:rsidRPr="00812D0B" w:rsidRDefault="00B467AE" w:rsidP="00824F1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Es wurden Stellen abgebaut</w:t>
            </w:r>
            <w:r w:rsidR="00824F19">
              <w:rPr>
                <w:rFonts w:ascii="Arial" w:hAnsi="Arial" w:cs="Arial"/>
                <w:b/>
                <w:sz w:val="32"/>
                <w:szCs w:val="32"/>
              </w:rPr>
              <w:t>, Verlagerung von Arbeitsplätzen ins Ausland.</w:t>
            </w:r>
          </w:p>
        </w:tc>
      </w:tr>
      <w:tr w:rsidR="002E0643" w:rsidRPr="007971FE" w:rsidTr="00FD2C71">
        <w:tc>
          <w:tcPr>
            <w:tcW w:w="2197" w:type="dxa"/>
          </w:tcPr>
          <w:p w:rsidR="00812D0B" w:rsidRDefault="000263B5">
            <w:pPr>
              <w:rPr>
                <w:rFonts w:ascii="Arial" w:hAnsi="Arial" w:cs="Arial"/>
              </w:rPr>
            </w:pPr>
            <w:r w:rsidRPr="007971FE">
              <w:rPr>
                <w:rFonts w:ascii="Arial" w:hAnsi="Arial" w:cs="Arial"/>
              </w:rPr>
              <w:t>Fremdenverkehr/</w:t>
            </w:r>
          </w:p>
          <w:p w:rsidR="002E0643" w:rsidRPr="007971FE" w:rsidRDefault="000263B5">
            <w:pPr>
              <w:rPr>
                <w:rFonts w:ascii="Arial" w:hAnsi="Arial" w:cs="Arial"/>
              </w:rPr>
            </w:pPr>
            <w:r w:rsidRPr="007971FE">
              <w:rPr>
                <w:rFonts w:ascii="Arial" w:hAnsi="Arial" w:cs="Arial"/>
              </w:rPr>
              <w:t>Tourismus</w:t>
            </w:r>
          </w:p>
        </w:tc>
        <w:tc>
          <w:tcPr>
            <w:tcW w:w="6865" w:type="dxa"/>
          </w:tcPr>
          <w:p w:rsidR="00FD2C71" w:rsidRPr="00824F19" w:rsidRDefault="00B467A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467AE">
              <w:rPr>
                <w:rFonts w:ascii="Arial" w:hAnsi="Arial" w:cs="Arial"/>
                <w:b/>
                <w:sz w:val="32"/>
                <w:szCs w:val="32"/>
              </w:rPr>
              <w:t>Weniger Tourismus, aufgrund hoher Preise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und tiefem Wechselkurs</w:t>
            </w:r>
            <w:r w:rsidR="00824F19">
              <w:rPr>
                <w:rFonts w:ascii="Arial" w:hAnsi="Arial" w:cs="Arial"/>
                <w:b/>
                <w:sz w:val="32"/>
                <w:szCs w:val="32"/>
              </w:rPr>
              <w:t xml:space="preserve">. </w:t>
            </w:r>
          </w:p>
        </w:tc>
      </w:tr>
      <w:tr w:rsidR="000263B5" w:rsidRPr="007971FE" w:rsidTr="00FD2C71">
        <w:tc>
          <w:tcPr>
            <w:tcW w:w="2197" w:type="dxa"/>
          </w:tcPr>
          <w:p w:rsidR="000263B5" w:rsidRPr="007971FE" w:rsidRDefault="000263B5">
            <w:pPr>
              <w:rPr>
                <w:rFonts w:ascii="Arial" w:hAnsi="Arial" w:cs="Arial"/>
              </w:rPr>
            </w:pPr>
            <w:r w:rsidRPr="007971FE">
              <w:rPr>
                <w:rFonts w:ascii="Arial" w:hAnsi="Arial" w:cs="Arial"/>
              </w:rPr>
              <w:t>Angelegtes Kapital</w:t>
            </w:r>
          </w:p>
        </w:tc>
        <w:tc>
          <w:tcPr>
            <w:tcW w:w="6865" w:type="dxa"/>
          </w:tcPr>
          <w:p w:rsidR="00FD2C71" w:rsidRPr="00812D0B" w:rsidRDefault="00824F19" w:rsidP="00824F19">
            <w:pPr>
              <w:rPr>
                <w:rFonts w:ascii="Arial" w:hAnsi="Arial" w:cs="Arial"/>
                <w:b/>
              </w:rPr>
            </w:pPr>
            <w:r w:rsidRPr="00824F19">
              <w:rPr>
                <w:rFonts w:ascii="Arial" w:hAnsi="Arial" w:cs="Arial"/>
                <w:b/>
                <w:sz w:val="32"/>
                <w:szCs w:val="32"/>
              </w:rPr>
              <w:t>Anlagen in Euro sinken. Wenn sie eine Anleihe in Euro habe, verliert diese an Wert. Auf der anderen Seite sind Anlagen für Ausländer in CHF attraktiv.</w:t>
            </w:r>
          </w:p>
        </w:tc>
      </w:tr>
    </w:tbl>
    <w:p w:rsidR="002E0643" w:rsidRPr="007971FE" w:rsidRDefault="002E0643">
      <w:pPr>
        <w:rPr>
          <w:rFonts w:ascii="Arial" w:hAnsi="Arial" w:cs="Arial"/>
        </w:rPr>
      </w:pPr>
    </w:p>
    <w:p w:rsidR="007971FE" w:rsidRDefault="007971FE" w:rsidP="007971FE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971FE">
        <w:rPr>
          <w:rFonts w:ascii="Arial" w:hAnsi="Arial" w:cs="Arial"/>
        </w:rPr>
        <w:t>Was ist in der Zwischenzeit mit dem Wechselkurs passiert?</w:t>
      </w:r>
    </w:p>
    <w:p w:rsidR="00B467AE" w:rsidRPr="00B467AE" w:rsidRDefault="00B467AE" w:rsidP="00B467AE">
      <w:pPr>
        <w:pStyle w:val="Listenabsatz"/>
        <w:ind w:left="360"/>
        <w:rPr>
          <w:rFonts w:ascii="Arial" w:hAnsi="Arial" w:cs="Arial"/>
          <w:color w:val="FF0000"/>
        </w:rPr>
      </w:pPr>
      <w:r w:rsidRPr="00B467AE">
        <w:rPr>
          <w:rFonts w:ascii="Arial" w:hAnsi="Arial" w:cs="Arial"/>
          <w:color w:val="FF0000"/>
        </w:rPr>
        <w:t>Er hat sich stabilisiert</w:t>
      </w:r>
      <w:r w:rsidR="004E1ED5">
        <w:rPr>
          <w:rFonts w:ascii="Arial" w:hAnsi="Arial" w:cs="Arial"/>
          <w:color w:val="FF0000"/>
        </w:rPr>
        <w:t xml:space="preserve"> und nun bei ca. 1.17 CHF/Euro </w:t>
      </w:r>
      <w:proofErr w:type="spellStart"/>
      <w:r w:rsidR="004E1ED5">
        <w:rPr>
          <w:rFonts w:ascii="Arial" w:hAnsi="Arial" w:cs="Arial"/>
          <w:color w:val="FF0000"/>
        </w:rPr>
        <w:t>eingepndelt</w:t>
      </w:r>
      <w:proofErr w:type="spellEnd"/>
      <w:r w:rsidR="004E1ED5">
        <w:rPr>
          <w:rFonts w:ascii="Arial" w:hAnsi="Arial" w:cs="Arial"/>
          <w:color w:val="FF0000"/>
        </w:rPr>
        <w:t>.</w:t>
      </w:r>
    </w:p>
    <w:p w:rsidR="00812D0B" w:rsidRDefault="00812D0B" w:rsidP="007971FE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Was war der Vorteil des festen Wechselkurses von CHF 1.20?</w:t>
      </w:r>
    </w:p>
    <w:p w:rsidR="00B467AE" w:rsidRPr="00B467AE" w:rsidRDefault="000658B5" w:rsidP="00B467AE">
      <w:pPr>
        <w:pStyle w:val="Listenabsatz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Planbarkeit für die Wirtschaftsteilnehmer (vor allem Export und Tourismus), Stabilität im Kapitalmarkt.</w:t>
      </w:r>
      <w:bookmarkStart w:id="0" w:name="_GoBack"/>
      <w:bookmarkEnd w:id="0"/>
    </w:p>
    <w:p w:rsidR="006448EE" w:rsidRDefault="006448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6448EE" w:rsidRDefault="006448EE" w:rsidP="006448EE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de-CH"/>
        </w:rPr>
        <w:lastRenderedPageBreak/>
        <w:t>Teil 2: Folgen der Finanzkrise</w:t>
      </w:r>
    </w:p>
    <w:p w:rsidR="006448EE" w:rsidRDefault="006448EE" w:rsidP="006448EE">
      <w:pPr>
        <w:spacing w:after="120"/>
        <w:rPr>
          <w:rFonts w:ascii="Tahoma" w:hAnsi="Tahoma" w:cs="Tahoma"/>
          <w:sz w:val="24"/>
          <w:szCs w:val="24"/>
        </w:rPr>
      </w:pPr>
      <w:r w:rsidRPr="00054DF5">
        <w:rPr>
          <w:rFonts w:ascii="Tahoma" w:hAnsi="Tahoma" w:cs="Tahoma"/>
          <w:sz w:val="24"/>
          <w:szCs w:val="24"/>
        </w:rPr>
        <w:t xml:space="preserve">Sie schauen sich den </w:t>
      </w:r>
      <w:r>
        <w:rPr>
          <w:rFonts w:ascii="Tahoma" w:hAnsi="Tahoma" w:cs="Tahoma"/>
          <w:sz w:val="24"/>
          <w:szCs w:val="24"/>
        </w:rPr>
        <w:t>ersten Beitrag von Eco SFR 1 vom 22.01.2018</w:t>
      </w:r>
      <w:r>
        <w:rPr>
          <w:rFonts w:ascii="Tahoma" w:hAnsi="Tahoma" w:cs="Tahoma"/>
          <w:sz w:val="24"/>
          <w:szCs w:val="24"/>
        </w:rPr>
        <w:br/>
        <w:t xml:space="preserve"> (1.13 bis 07.10 Minutenangabe) an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hyperlink r:id="rId9" w:history="1">
        <w:r w:rsidRPr="001C0956">
          <w:rPr>
            <w:rStyle w:val="Hyperlink"/>
            <w:rFonts w:ascii="Tahoma" w:hAnsi="Tahoma" w:cs="Tahoma"/>
            <w:sz w:val="24"/>
            <w:szCs w:val="24"/>
          </w:rPr>
          <w:t>https://www.srf.ch/play/tv/eco/video/zentralbanken--</w:t>
        </w:r>
        <w:proofErr w:type="spellStart"/>
        <w:r w:rsidRPr="001C0956">
          <w:rPr>
            <w:rStyle w:val="Hyperlink"/>
            <w:rFonts w:ascii="Tahoma" w:hAnsi="Tahoma" w:cs="Tahoma"/>
            <w:sz w:val="24"/>
            <w:szCs w:val="24"/>
          </w:rPr>
          <w:t>gerichtskosten</w:t>
        </w:r>
        <w:proofErr w:type="spellEnd"/>
        <w:r w:rsidRPr="001C0956">
          <w:rPr>
            <w:rStyle w:val="Hyperlink"/>
            <w:rFonts w:ascii="Tahoma" w:hAnsi="Tahoma" w:cs="Tahoma"/>
            <w:sz w:val="24"/>
            <w:szCs w:val="24"/>
          </w:rPr>
          <w:t>--</w:t>
        </w:r>
        <w:proofErr w:type="spellStart"/>
        <w:r w:rsidRPr="001C0956">
          <w:rPr>
            <w:rStyle w:val="Hyperlink"/>
            <w:rFonts w:ascii="Tahoma" w:hAnsi="Tahoma" w:cs="Tahoma"/>
            <w:sz w:val="24"/>
            <w:szCs w:val="24"/>
          </w:rPr>
          <w:t>konkurs</w:t>
        </w:r>
        <w:proofErr w:type="spellEnd"/>
        <w:r w:rsidRPr="001C0956">
          <w:rPr>
            <w:rStyle w:val="Hyperlink"/>
            <w:rFonts w:ascii="Tahoma" w:hAnsi="Tahoma" w:cs="Tahoma"/>
            <w:sz w:val="24"/>
            <w:szCs w:val="24"/>
          </w:rPr>
          <w:t>--</w:t>
        </w:r>
        <w:proofErr w:type="spellStart"/>
        <w:r w:rsidRPr="001C0956">
          <w:rPr>
            <w:rStyle w:val="Hyperlink"/>
            <w:rFonts w:ascii="Tahoma" w:hAnsi="Tahoma" w:cs="Tahoma"/>
            <w:sz w:val="24"/>
            <w:szCs w:val="24"/>
          </w:rPr>
          <w:t>callcenter-afrika?id</w:t>
        </w:r>
        <w:proofErr w:type="spellEnd"/>
        <w:r w:rsidRPr="001C0956">
          <w:rPr>
            <w:rStyle w:val="Hyperlink"/>
            <w:rFonts w:ascii="Tahoma" w:hAnsi="Tahoma" w:cs="Tahoma"/>
            <w:sz w:val="24"/>
            <w:szCs w:val="24"/>
          </w:rPr>
          <w:t>=6a5b35c6-87c8-4d03-a673-65712e410e63</w:t>
        </w:r>
      </w:hyperlink>
    </w:p>
    <w:p w:rsidR="006448EE" w:rsidRDefault="006448EE" w:rsidP="006448EE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 beantworten Sie die folgende Frage: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  <w:t xml:space="preserve">Welche Reaktionen/Massnahmen folgten auf die Finanzkrise? Sie gehen von verschiedenen Marktteilnehmern aus. </w:t>
      </w:r>
      <w:r>
        <w:rPr>
          <w:rFonts w:ascii="Tahoma" w:hAnsi="Tahoma" w:cs="Tahoma"/>
          <w:sz w:val="24"/>
          <w:szCs w:val="24"/>
        </w:rPr>
        <w:br/>
        <w:t>Sie machen mit Ihrem Tischpartner ein Brainstorming und halten Ihre Ergebnisse fest.</w:t>
      </w:r>
      <w:r>
        <w:rPr>
          <w:rFonts w:ascii="Tahoma" w:hAnsi="Tahoma" w:cs="Tahoma"/>
          <w:sz w:val="24"/>
          <w:szCs w:val="24"/>
        </w:rPr>
        <w:br/>
        <w:t>Zeitgefäss: 10 Minuten.</w:t>
      </w:r>
      <w:r>
        <w:rPr>
          <w:rFonts w:ascii="Tahoma" w:hAnsi="Tahoma" w:cs="Tahoma"/>
          <w:sz w:val="24"/>
          <w:szCs w:val="24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2"/>
        <w:gridCol w:w="7100"/>
      </w:tblGrid>
      <w:tr w:rsidR="006448EE" w:rsidTr="00565EDB">
        <w:tc>
          <w:tcPr>
            <w:tcW w:w="1980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Staat</w:t>
            </w:r>
          </w:p>
          <w:p w:rsidR="00645CC0" w:rsidRDefault="00645CC0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648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448EE" w:rsidTr="00565EDB">
        <w:tc>
          <w:tcPr>
            <w:tcW w:w="1980" w:type="dxa"/>
          </w:tcPr>
          <w:p w:rsidR="00623FA5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Private Haushalt</w:t>
            </w:r>
          </w:p>
          <w:p w:rsidR="00623FA5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648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448EE" w:rsidTr="00565EDB">
        <w:tc>
          <w:tcPr>
            <w:tcW w:w="1980" w:type="dxa"/>
          </w:tcPr>
          <w:p w:rsidR="006448EE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Unternehmen</w:t>
            </w:r>
          </w:p>
          <w:p w:rsidR="00623FA5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648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448EE" w:rsidTr="00565EDB">
        <w:tc>
          <w:tcPr>
            <w:tcW w:w="1980" w:type="dxa"/>
          </w:tcPr>
          <w:p w:rsidR="006448EE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Zentralbanken</w:t>
            </w:r>
          </w:p>
        </w:tc>
        <w:tc>
          <w:tcPr>
            <w:tcW w:w="7648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  <w:p w:rsidR="00623FA5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448EE" w:rsidTr="00565EDB">
        <w:tc>
          <w:tcPr>
            <w:tcW w:w="1980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648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  <w:p w:rsidR="00623FA5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448EE" w:rsidTr="00565EDB">
        <w:tc>
          <w:tcPr>
            <w:tcW w:w="1980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  <w:p w:rsidR="00623FA5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648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448EE" w:rsidTr="00565EDB">
        <w:tc>
          <w:tcPr>
            <w:tcW w:w="1980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  <w:p w:rsidR="00623FA5" w:rsidRDefault="00623FA5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648" w:type="dxa"/>
          </w:tcPr>
          <w:p w:rsidR="006448EE" w:rsidRDefault="006448EE" w:rsidP="00565EDB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6448EE" w:rsidRPr="006448EE" w:rsidRDefault="006448EE" w:rsidP="006448EE">
      <w:pPr>
        <w:rPr>
          <w:rFonts w:ascii="Arial" w:hAnsi="Arial" w:cs="Arial"/>
        </w:rPr>
      </w:pPr>
    </w:p>
    <w:p w:rsidR="005B5AC1" w:rsidRPr="00867F3F" w:rsidRDefault="005B5AC1" w:rsidP="00867F3F">
      <w:pPr>
        <w:rPr>
          <w:rFonts w:ascii="Arial" w:hAnsi="Arial" w:cs="Arial"/>
        </w:rPr>
      </w:pPr>
    </w:p>
    <w:sectPr w:rsidR="005B5AC1" w:rsidRPr="00867F3F" w:rsidSect="002E0643">
      <w:headerReference w:type="default" r:id="rId10"/>
      <w:footerReference w:type="default" r:id="rId11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B8F" w:rsidRDefault="00832B8F" w:rsidP="002E0643">
      <w:pPr>
        <w:spacing w:after="0" w:line="240" w:lineRule="auto"/>
      </w:pPr>
      <w:r>
        <w:separator/>
      </w:r>
    </w:p>
  </w:endnote>
  <w:endnote w:type="continuationSeparator" w:id="0">
    <w:p w:rsidR="00832B8F" w:rsidRDefault="00832B8F" w:rsidP="002E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643" w:rsidRDefault="002E0643" w:rsidP="002E0643">
    <w:pPr>
      <w:pStyle w:val="Fuzeile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0658B5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:rsidR="002E0643" w:rsidRDefault="002E0643" w:rsidP="002E064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B8F" w:rsidRDefault="00832B8F" w:rsidP="002E0643">
      <w:pPr>
        <w:spacing w:after="0" w:line="240" w:lineRule="auto"/>
      </w:pPr>
      <w:r>
        <w:separator/>
      </w:r>
    </w:p>
  </w:footnote>
  <w:footnote w:type="continuationSeparator" w:id="0">
    <w:p w:rsidR="00832B8F" w:rsidRDefault="00832B8F" w:rsidP="002E0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643" w:rsidRDefault="002E0643" w:rsidP="002E0643">
    <w:pPr>
      <w:pStyle w:val="Kopfzeile"/>
      <w:jc w:val="right"/>
    </w:pPr>
    <w:r>
      <w:t>Arbeitsauftrag W&amp;R</w:t>
    </w:r>
    <w:r w:rsidR="007971FE">
      <w:t xml:space="preserve"> BM </w:t>
    </w:r>
    <w:r w:rsidR="00CD4093">
      <w:t>15</w:t>
    </w:r>
  </w:p>
  <w:p w:rsidR="002E0643" w:rsidRDefault="002E06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531D7"/>
    <w:multiLevelType w:val="hybridMultilevel"/>
    <w:tmpl w:val="8EEA501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77421"/>
    <w:multiLevelType w:val="hybridMultilevel"/>
    <w:tmpl w:val="219A517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E465D1"/>
    <w:multiLevelType w:val="hybridMultilevel"/>
    <w:tmpl w:val="8A5ED2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F17DD"/>
    <w:multiLevelType w:val="hybridMultilevel"/>
    <w:tmpl w:val="50565A8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0B"/>
    <w:rsid w:val="000263B5"/>
    <w:rsid w:val="000658B5"/>
    <w:rsid w:val="00182FBA"/>
    <w:rsid w:val="002E0643"/>
    <w:rsid w:val="00320DDE"/>
    <w:rsid w:val="00333F65"/>
    <w:rsid w:val="003512D0"/>
    <w:rsid w:val="003544F9"/>
    <w:rsid w:val="003945B3"/>
    <w:rsid w:val="003E5C18"/>
    <w:rsid w:val="004637A0"/>
    <w:rsid w:val="004E1ED5"/>
    <w:rsid w:val="00522EFA"/>
    <w:rsid w:val="0053199B"/>
    <w:rsid w:val="005B5AC1"/>
    <w:rsid w:val="00610F46"/>
    <w:rsid w:val="00623FA5"/>
    <w:rsid w:val="006448EE"/>
    <w:rsid w:val="00645CC0"/>
    <w:rsid w:val="00655840"/>
    <w:rsid w:val="00754378"/>
    <w:rsid w:val="007971FE"/>
    <w:rsid w:val="007D0CF7"/>
    <w:rsid w:val="00812D0B"/>
    <w:rsid w:val="00824F19"/>
    <w:rsid w:val="00832B8F"/>
    <w:rsid w:val="00867F3F"/>
    <w:rsid w:val="0093710B"/>
    <w:rsid w:val="00B25D8F"/>
    <w:rsid w:val="00B467AE"/>
    <w:rsid w:val="00B77498"/>
    <w:rsid w:val="00C06958"/>
    <w:rsid w:val="00CD4093"/>
    <w:rsid w:val="00DD7052"/>
    <w:rsid w:val="00E8648A"/>
    <w:rsid w:val="00F45160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7DFD397-AB4E-439F-979C-08BB2462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37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3710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styleId="Hyperlink">
    <w:name w:val="Hyperlink"/>
    <w:basedOn w:val="Absatz-Standardschriftart"/>
    <w:uiPriority w:val="99"/>
    <w:unhideWhenUsed/>
    <w:rsid w:val="0093710B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E0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643"/>
  </w:style>
  <w:style w:type="paragraph" w:styleId="Fuzeile">
    <w:name w:val="footer"/>
    <w:basedOn w:val="Standard"/>
    <w:link w:val="FuzeileZchn"/>
    <w:uiPriority w:val="99"/>
    <w:unhideWhenUsed/>
    <w:rsid w:val="002E0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643"/>
  </w:style>
  <w:style w:type="paragraph" w:styleId="Listenabsatz">
    <w:name w:val="List Paragraph"/>
    <w:basedOn w:val="Standard"/>
    <w:uiPriority w:val="34"/>
    <w:qFormat/>
    <w:rsid w:val="002E0643"/>
    <w:pPr>
      <w:ind w:left="720"/>
      <w:contextualSpacing/>
    </w:pPr>
  </w:style>
  <w:style w:type="table" w:styleId="Tabellenraster">
    <w:name w:val="Table Grid"/>
    <w:basedOn w:val="NormaleTabelle"/>
    <w:uiPriority w:val="39"/>
    <w:rsid w:val="002E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544F9"/>
    <w:rPr>
      <w:color w:val="808080"/>
      <w:shd w:val="clear" w:color="auto" w:fill="E6E6E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46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f.ch/news/wirtschaft/drei-jahre-mindestkurs-ende-snb-praesident-1schweiz-vor-verheerenden-folgen-bewah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rf.ch/play/tv/eco/video/zentralbanken--gerichtskosten--konkurs--callcenter-afrika?id=6a5b35c6-87c8-4d03-a673-65712e410e6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Haener</dc:creator>
  <cp:keywords/>
  <dc:description/>
  <cp:lastModifiedBy>Luca Schäfli</cp:lastModifiedBy>
  <cp:revision>18</cp:revision>
  <dcterms:created xsi:type="dcterms:W3CDTF">2018-01-31T12:41:00Z</dcterms:created>
  <dcterms:modified xsi:type="dcterms:W3CDTF">2018-01-31T13:40:00Z</dcterms:modified>
</cp:coreProperties>
</file>