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5F0" w:rsidRPr="00CA35F0" w:rsidRDefault="00914672" w:rsidP="00CA35F0">
      <w:pPr>
        <w:spacing w:after="0" w:line="240" w:lineRule="auto"/>
        <w:rPr>
          <w:sz w:val="24"/>
          <w:szCs w:val="28"/>
        </w:rPr>
      </w:pPr>
      <w:r w:rsidRPr="00CA35F0">
        <w:rPr>
          <w:sz w:val="24"/>
          <w:szCs w:val="28"/>
        </w:rPr>
        <w:t>Aussenhandel</w:t>
      </w:r>
      <w:r w:rsidRPr="00CA35F0">
        <w:rPr>
          <w:sz w:val="24"/>
          <w:szCs w:val="28"/>
        </w:rPr>
        <w:t xml:space="preserve">: </w:t>
      </w:r>
    </w:p>
    <w:p w:rsidR="003B5145" w:rsidRPr="00CA35F0" w:rsidRDefault="00914672" w:rsidP="00CA35F0">
      <w:pPr>
        <w:spacing w:after="0" w:line="240" w:lineRule="auto"/>
        <w:rPr>
          <w:color w:val="44546A" w:themeColor="text2"/>
          <w:sz w:val="24"/>
          <w:szCs w:val="28"/>
        </w:rPr>
      </w:pPr>
      <w:r w:rsidRPr="00CA35F0">
        <w:rPr>
          <w:color w:val="44546A" w:themeColor="text2"/>
          <w:sz w:val="24"/>
          <w:szCs w:val="28"/>
        </w:rPr>
        <w:t>Un</w:t>
      </w:r>
      <w:r w:rsidRPr="00CA35F0">
        <w:rPr>
          <w:color w:val="44546A" w:themeColor="text2"/>
          <w:sz w:val="24"/>
          <w:szCs w:val="28"/>
        </w:rPr>
        <w:t>ter Aussenhandel versteht man den Austausch von Waren, Dienstleistungen und Kapital über internationale Grenzen</w:t>
      </w:r>
    </w:p>
    <w:p w:rsidR="00621D21" w:rsidRDefault="00621D21"/>
    <w:p w:rsidR="00CA35F0" w:rsidRPr="00CA35F0" w:rsidRDefault="00CA35F0" w:rsidP="00CA35F0">
      <w:pPr>
        <w:spacing w:after="0" w:line="240" w:lineRule="auto"/>
        <w:rPr>
          <w:sz w:val="24"/>
        </w:rPr>
      </w:pPr>
      <w:r w:rsidRPr="00CA35F0">
        <w:rPr>
          <w:sz w:val="24"/>
        </w:rPr>
        <w:t>Bilanzen</w:t>
      </w:r>
      <w:r>
        <w:rPr>
          <w:sz w:val="24"/>
        </w:rPr>
        <w:t>:</w:t>
      </w:r>
    </w:p>
    <w:p w:rsidR="00CA35F0" w:rsidRDefault="00B256E2" w:rsidP="00CA35F0">
      <w:pPr>
        <w:spacing w:after="0" w:line="240" w:lineRule="auto"/>
        <w:rPr>
          <w:sz w:val="24"/>
        </w:rPr>
      </w:pPr>
      <w:r w:rsidRPr="00CA35F0">
        <w:rPr>
          <w:rStyle w:val="ilfuvd"/>
          <w:sz w:val="24"/>
        </w:rPr>
        <w:t xml:space="preserve">Die </w:t>
      </w:r>
      <w:r w:rsidRPr="00CA35F0">
        <w:rPr>
          <w:rStyle w:val="ilfuvd"/>
          <w:b/>
          <w:bCs/>
          <w:sz w:val="24"/>
        </w:rPr>
        <w:t>Handelsbilanz</w:t>
      </w:r>
      <w:r w:rsidRPr="00CA35F0">
        <w:rPr>
          <w:rStyle w:val="ilfuvd"/>
          <w:sz w:val="24"/>
        </w:rPr>
        <w:t xml:space="preserve"> bezieht sich in der volkswirtschaftlichen Gesamtrechnung auf den Außenhandel, also den grenzüberschreitenden </w:t>
      </w:r>
      <w:r w:rsidRPr="00CA35F0">
        <w:rPr>
          <w:rStyle w:val="ilfuvd"/>
          <w:b/>
          <w:sz w:val="24"/>
        </w:rPr>
        <w:t>Warenverkehr</w:t>
      </w:r>
      <w:r w:rsidRPr="00CA35F0">
        <w:rPr>
          <w:rStyle w:val="ilfuvd"/>
          <w:sz w:val="24"/>
        </w:rPr>
        <w:t xml:space="preserve"> eines Landes.</w:t>
      </w:r>
      <w:r w:rsidR="00CA35F0">
        <w:rPr>
          <w:rStyle w:val="ilfuvd"/>
          <w:sz w:val="24"/>
        </w:rPr>
        <w:t xml:space="preserve"> </w:t>
      </w:r>
      <w:r w:rsidR="00CA35F0" w:rsidRPr="00CA35F0">
        <w:rPr>
          <w:sz w:val="24"/>
        </w:rPr>
        <w:t>Handlungsbilanz ist Teil der Zahlungsbilanz</w:t>
      </w:r>
    </w:p>
    <w:p w:rsidR="00CA35F0" w:rsidRPr="00CA35F0" w:rsidRDefault="00CA35F0" w:rsidP="00CA35F0">
      <w:pPr>
        <w:spacing w:after="0" w:line="240" w:lineRule="auto"/>
        <w:rPr>
          <w:sz w:val="24"/>
        </w:rPr>
      </w:pPr>
    </w:p>
    <w:p w:rsidR="00B256E2" w:rsidRDefault="00B256E2" w:rsidP="00B256E2">
      <w:pPr>
        <w:rPr>
          <w:rStyle w:val="ilfuvd"/>
          <w:sz w:val="24"/>
        </w:rPr>
      </w:pPr>
      <w:r w:rsidRPr="00CA35F0">
        <w:rPr>
          <w:rStyle w:val="ilfuvd"/>
          <w:sz w:val="24"/>
        </w:rPr>
        <w:t xml:space="preserve">Die </w:t>
      </w:r>
      <w:r w:rsidRPr="00CA35F0">
        <w:rPr>
          <w:rStyle w:val="ilfuvd"/>
          <w:b/>
          <w:bCs/>
          <w:sz w:val="24"/>
        </w:rPr>
        <w:t>Zahlungsbilanz</w:t>
      </w:r>
      <w:r w:rsidRPr="00CA35F0">
        <w:rPr>
          <w:rStyle w:val="ilfuvd"/>
          <w:sz w:val="24"/>
        </w:rPr>
        <w:t xml:space="preserve"> erfasst für einen bestimmten Zeitraum wertmäßig </w:t>
      </w:r>
      <w:r w:rsidRPr="00CA35F0">
        <w:rPr>
          <w:rStyle w:val="ilfuvd"/>
          <w:b/>
          <w:sz w:val="24"/>
        </w:rPr>
        <w:t>alle wirtschaftlichen Transaktionen</w:t>
      </w:r>
      <w:r w:rsidRPr="00CA35F0">
        <w:rPr>
          <w:rStyle w:val="ilfuvd"/>
          <w:sz w:val="24"/>
        </w:rPr>
        <w:t xml:space="preserve"> zwischen Inländern und Ausländern und gibt Auskunft über die ökonomische Verflechtung einer Volkswirtschaft mit dem Ausland.</w:t>
      </w:r>
    </w:p>
    <w:p w:rsidR="00CA35F0" w:rsidRPr="00CA35F0" w:rsidRDefault="00CA35F0" w:rsidP="00B256E2">
      <w:pPr>
        <w:rPr>
          <w:sz w:val="24"/>
        </w:rPr>
      </w:pPr>
    </w:p>
    <w:p w:rsidR="00B256E2" w:rsidRPr="00CA35F0" w:rsidRDefault="00CA35F0" w:rsidP="00B256E2">
      <w:pPr>
        <w:rPr>
          <w:rStyle w:val="ilfuvd"/>
          <w:sz w:val="24"/>
        </w:rPr>
      </w:pPr>
      <w:r w:rsidRPr="00CA35F0">
        <w:rPr>
          <w:rStyle w:val="ilfuvd"/>
          <w:sz w:val="24"/>
        </w:rPr>
        <w:t>Auf-/ Abwertung:</w:t>
      </w:r>
    </w:p>
    <w:tbl>
      <w:tblPr>
        <w:tblStyle w:val="Tabellenraster"/>
        <w:tblW w:w="9062" w:type="dxa"/>
        <w:tblLook w:val="04A0" w:firstRow="1" w:lastRow="0" w:firstColumn="1" w:lastColumn="0" w:noHBand="0" w:noVBand="1"/>
      </w:tblPr>
      <w:tblGrid>
        <w:gridCol w:w="4531"/>
        <w:gridCol w:w="4531"/>
      </w:tblGrid>
      <w:tr w:rsidR="00B256E2" w:rsidTr="00B256E2">
        <w:tc>
          <w:tcPr>
            <w:tcW w:w="4531" w:type="dxa"/>
          </w:tcPr>
          <w:p w:rsidR="00B256E2" w:rsidRDefault="00B256E2" w:rsidP="00B256E2">
            <w:r>
              <w:t xml:space="preserve">Aufwertung </w:t>
            </w:r>
            <w:r>
              <w:t>(</w:t>
            </w:r>
            <w:r>
              <w:t>1.20 CHF zu 1.</w:t>
            </w:r>
            <w:r>
              <w:t>1</w:t>
            </w:r>
            <w:r>
              <w:t>0CHF</w:t>
            </w:r>
            <w:r>
              <w:t>)</w:t>
            </w:r>
          </w:p>
        </w:tc>
        <w:tc>
          <w:tcPr>
            <w:tcW w:w="4531" w:type="dxa"/>
          </w:tcPr>
          <w:p w:rsidR="00B256E2" w:rsidRDefault="00B256E2" w:rsidP="00B256E2">
            <w:r>
              <w:t>Abwertung</w:t>
            </w:r>
            <w:r>
              <w:t xml:space="preserve"> (1.20 CHF zu 1.</w:t>
            </w:r>
            <w:r>
              <w:t>3</w:t>
            </w:r>
            <w:r>
              <w:t>0CHF)</w:t>
            </w:r>
          </w:p>
        </w:tc>
      </w:tr>
      <w:tr w:rsidR="00B256E2" w:rsidTr="00B256E2">
        <w:tc>
          <w:tcPr>
            <w:tcW w:w="4531" w:type="dxa"/>
          </w:tcPr>
          <w:p w:rsidR="00B256E2" w:rsidRDefault="00B256E2" w:rsidP="00B256E2">
            <w:r>
              <w:t>+</w:t>
            </w:r>
          </w:p>
        </w:tc>
        <w:tc>
          <w:tcPr>
            <w:tcW w:w="4531" w:type="dxa"/>
          </w:tcPr>
          <w:p w:rsidR="00B256E2" w:rsidRDefault="00B256E2" w:rsidP="00B256E2">
            <w:r>
              <w:t>+</w:t>
            </w:r>
          </w:p>
        </w:tc>
      </w:tr>
      <w:tr w:rsidR="00B256E2" w:rsidTr="00B256E2">
        <w:tc>
          <w:tcPr>
            <w:tcW w:w="4531" w:type="dxa"/>
          </w:tcPr>
          <w:p w:rsidR="00B256E2" w:rsidRDefault="00B256E2" w:rsidP="00B256E2">
            <w:r>
              <w:t>Import steigt</w:t>
            </w:r>
          </w:p>
        </w:tc>
        <w:tc>
          <w:tcPr>
            <w:tcW w:w="4531" w:type="dxa"/>
          </w:tcPr>
          <w:p w:rsidR="00B256E2" w:rsidRDefault="00B256E2" w:rsidP="00B256E2">
            <w:r>
              <w:t>Export</w:t>
            </w:r>
            <w:r>
              <w:t xml:space="preserve"> steigt</w:t>
            </w:r>
          </w:p>
        </w:tc>
      </w:tr>
      <w:tr w:rsidR="00B256E2" w:rsidTr="00B256E2">
        <w:tc>
          <w:tcPr>
            <w:tcW w:w="4531" w:type="dxa"/>
          </w:tcPr>
          <w:p w:rsidR="00B256E2" w:rsidRDefault="00B256E2" w:rsidP="00B256E2">
            <w:r>
              <w:t>Billige Ferien</w:t>
            </w:r>
          </w:p>
        </w:tc>
        <w:tc>
          <w:tcPr>
            <w:tcW w:w="4531" w:type="dxa"/>
          </w:tcPr>
          <w:p w:rsidR="00B256E2" w:rsidRDefault="00B256E2" w:rsidP="00B256E2">
            <w:r>
              <w:t>Mehr Touristen in der Schweiz</w:t>
            </w:r>
          </w:p>
        </w:tc>
      </w:tr>
      <w:tr w:rsidR="00B256E2" w:rsidTr="00B256E2">
        <w:tc>
          <w:tcPr>
            <w:tcW w:w="4531" w:type="dxa"/>
          </w:tcPr>
          <w:p w:rsidR="00B256E2" w:rsidRDefault="00B256E2" w:rsidP="00B256E2">
            <w:r>
              <w:t>Anlage vom Ausland nehmen zu</w:t>
            </w:r>
          </w:p>
        </w:tc>
        <w:tc>
          <w:tcPr>
            <w:tcW w:w="4531" w:type="dxa"/>
          </w:tcPr>
          <w:p w:rsidR="00B256E2" w:rsidRDefault="00B256E2" w:rsidP="00B256E2">
            <w:r>
              <w:t>Mehr Arbeitsplätze</w:t>
            </w:r>
          </w:p>
        </w:tc>
      </w:tr>
      <w:tr w:rsidR="00B256E2" w:rsidTr="00B256E2">
        <w:tc>
          <w:tcPr>
            <w:tcW w:w="4531" w:type="dxa"/>
          </w:tcPr>
          <w:p w:rsidR="00B256E2" w:rsidRDefault="00B256E2" w:rsidP="00B256E2"/>
        </w:tc>
        <w:tc>
          <w:tcPr>
            <w:tcW w:w="4531" w:type="dxa"/>
          </w:tcPr>
          <w:p w:rsidR="00B256E2" w:rsidRDefault="00B256E2" w:rsidP="00B256E2">
            <w:r>
              <w:t>Anlagen im Ausland steigen</w:t>
            </w:r>
          </w:p>
        </w:tc>
      </w:tr>
      <w:tr w:rsidR="00B256E2" w:rsidTr="00B256E2">
        <w:tc>
          <w:tcPr>
            <w:tcW w:w="4531" w:type="dxa"/>
          </w:tcPr>
          <w:p w:rsidR="00B256E2" w:rsidRDefault="00B256E2" w:rsidP="00B256E2">
            <w:r>
              <w:t>-</w:t>
            </w:r>
          </w:p>
        </w:tc>
        <w:tc>
          <w:tcPr>
            <w:tcW w:w="4531" w:type="dxa"/>
          </w:tcPr>
          <w:p w:rsidR="00B256E2" w:rsidRDefault="00B256E2" w:rsidP="00B256E2">
            <w:r>
              <w:t>-</w:t>
            </w:r>
          </w:p>
        </w:tc>
      </w:tr>
      <w:tr w:rsidR="00B256E2" w:rsidTr="00B256E2">
        <w:tc>
          <w:tcPr>
            <w:tcW w:w="4531" w:type="dxa"/>
          </w:tcPr>
          <w:p w:rsidR="00B256E2" w:rsidRDefault="00B256E2" w:rsidP="00B256E2">
            <w:r>
              <w:t>Export sinkt</w:t>
            </w:r>
          </w:p>
        </w:tc>
        <w:tc>
          <w:tcPr>
            <w:tcW w:w="4531" w:type="dxa"/>
          </w:tcPr>
          <w:p w:rsidR="00B256E2" w:rsidRDefault="00B256E2" w:rsidP="00B256E2">
            <w:r>
              <w:t>Import sinkt</w:t>
            </w:r>
          </w:p>
        </w:tc>
      </w:tr>
      <w:tr w:rsidR="00B256E2" w:rsidTr="00B256E2">
        <w:tc>
          <w:tcPr>
            <w:tcW w:w="4531" w:type="dxa"/>
          </w:tcPr>
          <w:p w:rsidR="00B256E2" w:rsidRDefault="00B256E2" w:rsidP="00B256E2">
            <w:r>
              <w:t>Abbau von Arbeitsplätzen</w:t>
            </w:r>
          </w:p>
        </w:tc>
        <w:tc>
          <w:tcPr>
            <w:tcW w:w="4531" w:type="dxa"/>
          </w:tcPr>
          <w:p w:rsidR="00B256E2" w:rsidRDefault="00B256E2" w:rsidP="00B256E2">
            <w:r>
              <w:t>Teure Ferien</w:t>
            </w:r>
          </w:p>
        </w:tc>
      </w:tr>
      <w:tr w:rsidR="00B256E2" w:rsidTr="00B256E2">
        <w:tc>
          <w:tcPr>
            <w:tcW w:w="4531" w:type="dxa"/>
          </w:tcPr>
          <w:p w:rsidR="00B256E2" w:rsidRDefault="00B256E2" w:rsidP="00B256E2">
            <w:r>
              <w:t>Weniger Touristen in der Schweiz</w:t>
            </w:r>
          </w:p>
        </w:tc>
        <w:tc>
          <w:tcPr>
            <w:tcW w:w="4531" w:type="dxa"/>
          </w:tcPr>
          <w:p w:rsidR="00B256E2" w:rsidRDefault="00CA35F0" w:rsidP="00B256E2">
            <w:r>
              <w:t>Anlagen vom Ausland sinken</w:t>
            </w:r>
          </w:p>
        </w:tc>
      </w:tr>
      <w:tr w:rsidR="00B256E2" w:rsidTr="00B256E2">
        <w:tc>
          <w:tcPr>
            <w:tcW w:w="4531" w:type="dxa"/>
          </w:tcPr>
          <w:p w:rsidR="00B256E2" w:rsidRDefault="00B256E2" w:rsidP="00B256E2">
            <w:r>
              <w:t>Anlagen im Ausland sinken</w:t>
            </w:r>
          </w:p>
        </w:tc>
        <w:tc>
          <w:tcPr>
            <w:tcW w:w="4531" w:type="dxa"/>
          </w:tcPr>
          <w:p w:rsidR="00B256E2" w:rsidRDefault="00B256E2" w:rsidP="00B256E2"/>
        </w:tc>
      </w:tr>
    </w:tbl>
    <w:p w:rsidR="00B256E2" w:rsidRDefault="00B256E2" w:rsidP="00B256E2"/>
    <w:p w:rsidR="00CA35F0" w:rsidRPr="00CA35F0" w:rsidRDefault="00CA35F0" w:rsidP="00CA35F0">
      <w:pPr>
        <w:spacing w:after="0" w:line="240" w:lineRule="auto"/>
        <w:rPr>
          <w:sz w:val="24"/>
        </w:rPr>
      </w:pPr>
      <w:r w:rsidRPr="00CA35F0">
        <w:rPr>
          <w:sz w:val="24"/>
        </w:rPr>
        <w:t>Wechselkurs:</w:t>
      </w:r>
    </w:p>
    <w:p w:rsidR="00CA35F0" w:rsidRPr="00CA35F0" w:rsidRDefault="00CA35F0" w:rsidP="00CA35F0">
      <w:pPr>
        <w:spacing w:after="0" w:line="240" w:lineRule="auto"/>
        <w:rPr>
          <w:sz w:val="24"/>
        </w:rPr>
      </w:pPr>
      <w:r w:rsidRPr="00CA35F0">
        <w:rPr>
          <w:sz w:val="24"/>
        </w:rPr>
        <w:t>Flexibler Wechselkurs: Angebot und Nachfrage</w:t>
      </w:r>
    </w:p>
    <w:p w:rsidR="00CA35F0" w:rsidRPr="00CA35F0" w:rsidRDefault="00CA35F0" w:rsidP="00CA35F0">
      <w:pPr>
        <w:spacing w:after="0" w:line="240" w:lineRule="auto"/>
        <w:rPr>
          <w:sz w:val="24"/>
        </w:rPr>
      </w:pPr>
      <w:r w:rsidRPr="00CA35F0">
        <w:rPr>
          <w:sz w:val="24"/>
        </w:rPr>
        <w:t>Fester Wechselkurs:  Wird durch zu- und verkauft gehalten</w:t>
      </w:r>
    </w:p>
    <w:p w:rsidR="00CA35F0" w:rsidRDefault="00CA35F0" w:rsidP="00B256E2"/>
    <w:p w:rsidR="00CA35F0" w:rsidRPr="00CA35F0" w:rsidRDefault="00CA35F0" w:rsidP="00CA35F0">
      <w:pPr>
        <w:spacing w:after="0" w:line="240" w:lineRule="auto"/>
        <w:rPr>
          <w:sz w:val="24"/>
          <w:szCs w:val="24"/>
        </w:rPr>
      </w:pPr>
      <w:r w:rsidRPr="00CA35F0">
        <w:rPr>
          <w:sz w:val="24"/>
          <w:szCs w:val="24"/>
        </w:rPr>
        <w:t xml:space="preserve">Ziel der WTO: </w:t>
      </w:r>
    </w:p>
    <w:p w:rsidR="00CA35F0" w:rsidRDefault="00CA35F0" w:rsidP="00CA35F0">
      <w:pPr>
        <w:spacing w:after="0" w:line="240" w:lineRule="auto"/>
        <w:rPr>
          <w:color w:val="44546A" w:themeColor="text2"/>
          <w:sz w:val="24"/>
          <w:szCs w:val="24"/>
        </w:rPr>
      </w:pPr>
      <w:r w:rsidRPr="00CA35F0">
        <w:rPr>
          <w:color w:val="44546A" w:themeColor="text2"/>
          <w:sz w:val="24"/>
          <w:szCs w:val="24"/>
        </w:rPr>
        <w:t>Den freien Warenverkehr zu ermöglichen, indem Handelsbarrieren aller Art beseitigt werden.</w:t>
      </w:r>
    </w:p>
    <w:p w:rsidR="00090564" w:rsidRDefault="00090564" w:rsidP="00CA35F0">
      <w:pPr>
        <w:spacing w:after="0" w:line="240" w:lineRule="auto"/>
        <w:rPr>
          <w:sz w:val="24"/>
          <w:szCs w:val="24"/>
        </w:rPr>
      </w:pPr>
    </w:p>
    <w:p w:rsidR="00090564" w:rsidRDefault="00DC5D0D" w:rsidP="00CA35F0">
      <w:pPr>
        <w:spacing w:after="0" w:line="240" w:lineRule="auto"/>
        <w:rPr>
          <w:sz w:val="24"/>
          <w:szCs w:val="24"/>
        </w:rPr>
      </w:pPr>
      <w:r>
        <w:rPr>
          <w:sz w:val="24"/>
          <w:szCs w:val="24"/>
        </w:rPr>
        <w:t>Handelshemmnisse:</w:t>
      </w:r>
    </w:p>
    <w:tbl>
      <w:tblPr>
        <w:tblStyle w:val="Tabellenraster"/>
        <w:tblW w:w="0" w:type="auto"/>
        <w:tblLook w:val="04A0" w:firstRow="1" w:lastRow="0" w:firstColumn="1" w:lastColumn="0" w:noHBand="0" w:noVBand="1"/>
      </w:tblPr>
      <w:tblGrid>
        <w:gridCol w:w="4531"/>
        <w:gridCol w:w="4531"/>
      </w:tblGrid>
      <w:tr w:rsidR="00090564" w:rsidTr="00090564">
        <w:tc>
          <w:tcPr>
            <w:tcW w:w="4531" w:type="dxa"/>
          </w:tcPr>
          <w:p w:rsidR="00090564" w:rsidRDefault="00DC5D0D" w:rsidP="00CA35F0">
            <w:pPr>
              <w:rPr>
                <w:sz w:val="24"/>
                <w:szCs w:val="24"/>
              </w:rPr>
            </w:pPr>
            <w:r>
              <w:rPr>
                <w:sz w:val="24"/>
                <w:szCs w:val="24"/>
              </w:rPr>
              <w:t>Tarifäre</w:t>
            </w:r>
            <w:r w:rsidR="00090564">
              <w:rPr>
                <w:sz w:val="24"/>
                <w:szCs w:val="24"/>
              </w:rPr>
              <w:t xml:space="preserve"> (</w:t>
            </w:r>
            <w:r>
              <w:rPr>
                <w:sz w:val="24"/>
                <w:szCs w:val="24"/>
              </w:rPr>
              <w:t>direkt</w:t>
            </w:r>
            <w:r w:rsidR="00090564">
              <w:rPr>
                <w:sz w:val="24"/>
                <w:szCs w:val="24"/>
              </w:rPr>
              <w:t>)</w:t>
            </w:r>
          </w:p>
        </w:tc>
        <w:tc>
          <w:tcPr>
            <w:tcW w:w="4531" w:type="dxa"/>
          </w:tcPr>
          <w:p w:rsidR="00090564" w:rsidRDefault="00090564" w:rsidP="00CA35F0">
            <w:pPr>
              <w:rPr>
                <w:sz w:val="24"/>
                <w:szCs w:val="24"/>
              </w:rPr>
            </w:pPr>
            <w:r>
              <w:rPr>
                <w:sz w:val="24"/>
                <w:szCs w:val="24"/>
              </w:rPr>
              <w:t xml:space="preserve">Nicht </w:t>
            </w:r>
            <w:r w:rsidR="00DC5D0D">
              <w:rPr>
                <w:sz w:val="24"/>
                <w:szCs w:val="24"/>
              </w:rPr>
              <w:t>Tarifäre (</w:t>
            </w:r>
            <w:proofErr w:type="spellStart"/>
            <w:r w:rsidR="00DC5D0D">
              <w:rPr>
                <w:sz w:val="24"/>
                <w:szCs w:val="24"/>
              </w:rPr>
              <w:t>indirket</w:t>
            </w:r>
            <w:proofErr w:type="spellEnd"/>
            <w:r w:rsidR="00DC5D0D">
              <w:rPr>
                <w:sz w:val="24"/>
                <w:szCs w:val="24"/>
              </w:rPr>
              <w:t>)</w:t>
            </w:r>
          </w:p>
        </w:tc>
      </w:tr>
      <w:tr w:rsidR="00090564" w:rsidTr="00090564">
        <w:tc>
          <w:tcPr>
            <w:tcW w:w="4531" w:type="dxa"/>
          </w:tcPr>
          <w:p w:rsidR="00090564" w:rsidRDefault="00090564" w:rsidP="00CA35F0">
            <w:pPr>
              <w:rPr>
                <w:sz w:val="24"/>
                <w:szCs w:val="24"/>
              </w:rPr>
            </w:pPr>
            <w:r>
              <w:rPr>
                <w:sz w:val="24"/>
                <w:szCs w:val="24"/>
              </w:rPr>
              <w:t>Zoll</w:t>
            </w:r>
          </w:p>
        </w:tc>
        <w:tc>
          <w:tcPr>
            <w:tcW w:w="4531" w:type="dxa"/>
          </w:tcPr>
          <w:p w:rsidR="00090564" w:rsidRDefault="00DC5D0D" w:rsidP="00CA35F0">
            <w:pPr>
              <w:rPr>
                <w:sz w:val="24"/>
                <w:szCs w:val="24"/>
              </w:rPr>
            </w:pPr>
            <w:r>
              <w:rPr>
                <w:sz w:val="24"/>
                <w:szCs w:val="24"/>
              </w:rPr>
              <w:t>Sicherheitsrichtlinien</w:t>
            </w:r>
          </w:p>
        </w:tc>
      </w:tr>
      <w:tr w:rsidR="00090564" w:rsidTr="00090564">
        <w:tc>
          <w:tcPr>
            <w:tcW w:w="4531" w:type="dxa"/>
          </w:tcPr>
          <w:p w:rsidR="00090564" w:rsidRDefault="00DC5D0D" w:rsidP="00CA35F0">
            <w:pPr>
              <w:rPr>
                <w:sz w:val="24"/>
                <w:szCs w:val="24"/>
              </w:rPr>
            </w:pPr>
            <w:r>
              <w:rPr>
                <w:sz w:val="24"/>
                <w:szCs w:val="24"/>
              </w:rPr>
              <w:t>Mindestpreis</w:t>
            </w:r>
          </w:p>
        </w:tc>
        <w:tc>
          <w:tcPr>
            <w:tcW w:w="4531" w:type="dxa"/>
          </w:tcPr>
          <w:p w:rsidR="00090564" w:rsidRDefault="00DC5D0D" w:rsidP="00CA35F0">
            <w:pPr>
              <w:rPr>
                <w:sz w:val="24"/>
                <w:szCs w:val="24"/>
              </w:rPr>
            </w:pPr>
            <w:r>
              <w:rPr>
                <w:sz w:val="24"/>
                <w:szCs w:val="24"/>
              </w:rPr>
              <w:t>Patente</w:t>
            </w:r>
          </w:p>
        </w:tc>
      </w:tr>
      <w:tr w:rsidR="00090564" w:rsidTr="00090564">
        <w:tc>
          <w:tcPr>
            <w:tcW w:w="4531" w:type="dxa"/>
          </w:tcPr>
          <w:p w:rsidR="00090564" w:rsidRDefault="00DC5D0D" w:rsidP="00CA35F0">
            <w:pPr>
              <w:rPr>
                <w:sz w:val="24"/>
                <w:szCs w:val="24"/>
              </w:rPr>
            </w:pPr>
            <w:r>
              <w:rPr>
                <w:sz w:val="24"/>
                <w:szCs w:val="24"/>
              </w:rPr>
              <w:t>Kontingent (Begrenzung)</w:t>
            </w:r>
          </w:p>
        </w:tc>
        <w:tc>
          <w:tcPr>
            <w:tcW w:w="4531" w:type="dxa"/>
          </w:tcPr>
          <w:p w:rsidR="00090564" w:rsidRDefault="00090564" w:rsidP="00CA35F0">
            <w:pPr>
              <w:rPr>
                <w:sz w:val="24"/>
                <w:szCs w:val="24"/>
              </w:rPr>
            </w:pPr>
          </w:p>
        </w:tc>
      </w:tr>
      <w:tr w:rsidR="00090564" w:rsidTr="00090564">
        <w:tc>
          <w:tcPr>
            <w:tcW w:w="4531" w:type="dxa"/>
          </w:tcPr>
          <w:p w:rsidR="00090564" w:rsidRDefault="00DC5D0D" w:rsidP="00CA35F0">
            <w:pPr>
              <w:rPr>
                <w:sz w:val="24"/>
                <w:szCs w:val="24"/>
              </w:rPr>
            </w:pPr>
            <w:r>
              <w:rPr>
                <w:sz w:val="24"/>
                <w:szCs w:val="24"/>
              </w:rPr>
              <w:t>Verbrauchsteuer</w:t>
            </w:r>
          </w:p>
        </w:tc>
        <w:tc>
          <w:tcPr>
            <w:tcW w:w="4531" w:type="dxa"/>
          </w:tcPr>
          <w:p w:rsidR="00090564" w:rsidRDefault="00090564" w:rsidP="00CA35F0">
            <w:pPr>
              <w:rPr>
                <w:sz w:val="24"/>
                <w:szCs w:val="24"/>
              </w:rPr>
            </w:pPr>
          </w:p>
        </w:tc>
      </w:tr>
    </w:tbl>
    <w:p w:rsidR="00090564" w:rsidRDefault="00090564" w:rsidP="00CA35F0">
      <w:pPr>
        <w:spacing w:after="0" w:line="240" w:lineRule="auto"/>
        <w:rPr>
          <w:sz w:val="24"/>
          <w:szCs w:val="24"/>
        </w:rPr>
      </w:pPr>
    </w:p>
    <w:p w:rsidR="00DC5D0D" w:rsidRDefault="00DC5D0D">
      <w:pPr>
        <w:rPr>
          <w:sz w:val="24"/>
          <w:szCs w:val="24"/>
        </w:rPr>
      </w:pPr>
      <w:r>
        <w:rPr>
          <w:sz w:val="24"/>
          <w:szCs w:val="24"/>
        </w:rPr>
        <w:br w:type="page"/>
      </w:r>
    </w:p>
    <w:p w:rsidR="00090564" w:rsidRDefault="00DC5D0D" w:rsidP="00CA35F0">
      <w:pPr>
        <w:spacing w:after="0" w:line="240" w:lineRule="auto"/>
        <w:rPr>
          <w:sz w:val="24"/>
          <w:szCs w:val="24"/>
        </w:rPr>
      </w:pPr>
      <w:r>
        <w:rPr>
          <w:sz w:val="24"/>
          <w:szCs w:val="24"/>
        </w:rPr>
        <w:lastRenderedPageBreak/>
        <w:t>Freihandelsabkommen:</w:t>
      </w:r>
    </w:p>
    <w:p w:rsidR="00DC5D0D" w:rsidRPr="00DC5D0D" w:rsidRDefault="00DC5D0D" w:rsidP="00DC5D0D">
      <w:pPr>
        <w:rPr>
          <w:color w:val="44546A" w:themeColor="text2"/>
          <w:sz w:val="24"/>
          <w:szCs w:val="28"/>
        </w:rPr>
      </w:pPr>
      <w:r w:rsidRPr="00DC5D0D">
        <w:rPr>
          <w:color w:val="44546A" w:themeColor="text2"/>
          <w:sz w:val="24"/>
          <w:szCs w:val="28"/>
        </w:rPr>
        <w:t xml:space="preserve">Ein FHA ist ein Abkommen, das bilateral also zwischen zwei Parteien – oder multilateral – also zwischen mehreren Ländern – mit dem Ziel geschlossen wird, den internationalen Handel zu erleichtern. </w:t>
      </w:r>
      <w:r w:rsidRPr="00DC5D0D">
        <w:rPr>
          <w:color w:val="44546A" w:themeColor="text2"/>
          <w:sz w:val="24"/>
          <w:szCs w:val="28"/>
        </w:rPr>
        <w:br/>
        <w:t>Bestandteile eines FHA:</w:t>
      </w:r>
    </w:p>
    <w:p w:rsidR="00DC5D0D" w:rsidRPr="00DC5D0D" w:rsidRDefault="00DC5D0D" w:rsidP="00DC5D0D">
      <w:pPr>
        <w:pStyle w:val="Listenabsatz"/>
        <w:numPr>
          <w:ilvl w:val="0"/>
          <w:numId w:val="6"/>
        </w:numPr>
        <w:ind w:left="851"/>
        <w:rPr>
          <w:color w:val="44546A" w:themeColor="text2"/>
          <w:sz w:val="24"/>
          <w:szCs w:val="28"/>
        </w:rPr>
      </w:pPr>
      <w:r w:rsidRPr="00DC5D0D">
        <w:rPr>
          <w:color w:val="44546A" w:themeColor="text2"/>
          <w:sz w:val="24"/>
          <w:szCs w:val="28"/>
        </w:rPr>
        <w:t>Zollbestimmungen (Zollbefreiung oder Zollvergünstigungen)</w:t>
      </w:r>
    </w:p>
    <w:p w:rsidR="00DC5D0D" w:rsidRPr="00DC5D0D" w:rsidRDefault="00DC5D0D" w:rsidP="00DC5D0D">
      <w:pPr>
        <w:pStyle w:val="Listenabsatz"/>
        <w:numPr>
          <w:ilvl w:val="0"/>
          <w:numId w:val="6"/>
        </w:numPr>
        <w:ind w:left="851"/>
        <w:rPr>
          <w:color w:val="44546A" w:themeColor="text2"/>
          <w:sz w:val="24"/>
          <w:szCs w:val="28"/>
        </w:rPr>
      </w:pPr>
      <w:r w:rsidRPr="00DC5D0D">
        <w:rPr>
          <w:color w:val="44546A" w:themeColor="text2"/>
          <w:sz w:val="24"/>
          <w:szCs w:val="28"/>
        </w:rPr>
        <w:t>Patentschutz (gegenseitiger Schutz über WTO-Norm hinaus)</w:t>
      </w:r>
    </w:p>
    <w:p w:rsidR="00DC5D0D" w:rsidRPr="00DC5D0D" w:rsidRDefault="00DC5D0D" w:rsidP="00DC5D0D">
      <w:pPr>
        <w:pStyle w:val="Listenabsatz"/>
        <w:numPr>
          <w:ilvl w:val="0"/>
          <w:numId w:val="6"/>
        </w:numPr>
        <w:ind w:left="851"/>
        <w:rPr>
          <w:color w:val="44546A" w:themeColor="text2"/>
          <w:sz w:val="24"/>
          <w:szCs w:val="28"/>
        </w:rPr>
      </w:pPr>
      <w:r w:rsidRPr="00DC5D0D">
        <w:rPr>
          <w:color w:val="44546A" w:themeColor="text2"/>
          <w:sz w:val="24"/>
          <w:szCs w:val="28"/>
        </w:rPr>
        <w:t>Handel mit Dienstleistungen</w:t>
      </w:r>
    </w:p>
    <w:p w:rsidR="00DC5D0D" w:rsidRPr="00DC5D0D" w:rsidRDefault="00DC5D0D" w:rsidP="00DC5D0D">
      <w:pPr>
        <w:pStyle w:val="Listenabsatz"/>
        <w:numPr>
          <w:ilvl w:val="0"/>
          <w:numId w:val="6"/>
        </w:numPr>
        <w:ind w:left="851"/>
        <w:rPr>
          <w:color w:val="44546A" w:themeColor="text2"/>
          <w:sz w:val="24"/>
          <w:szCs w:val="28"/>
        </w:rPr>
      </w:pPr>
      <w:r w:rsidRPr="00DC5D0D">
        <w:rPr>
          <w:color w:val="44546A" w:themeColor="text2"/>
          <w:sz w:val="24"/>
          <w:szCs w:val="28"/>
        </w:rPr>
        <w:t>Bestimmungen für Investitionen</w:t>
      </w:r>
    </w:p>
    <w:p w:rsidR="00DC5D0D" w:rsidRPr="00DC5D0D" w:rsidRDefault="00DC5D0D" w:rsidP="00DC5D0D">
      <w:pPr>
        <w:pStyle w:val="Listenabsatz"/>
        <w:numPr>
          <w:ilvl w:val="0"/>
          <w:numId w:val="6"/>
        </w:numPr>
        <w:ind w:left="851"/>
        <w:rPr>
          <w:color w:val="44546A" w:themeColor="text2"/>
          <w:sz w:val="24"/>
          <w:szCs w:val="28"/>
        </w:rPr>
      </w:pPr>
      <w:r w:rsidRPr="00DC5D0D">
        <w:rPr>
          <w:color w:val="44546A" w:themeColor="text2"/>
          <w:sz w:val="24"/>
          <w:szCs w:val="28"/>
        </w:rPr>
        <w:t>Bestimmungen für das Beschaffungswesen</w:t>
      </w:r>
    </w:p>
    <w:p w:rsidR="00DC5D0D" w:rsidRPr="00DC5D0D" w:rsidRDefault="00DC5D0D" w:rsidP="00DC5D0D">
      <w:pPr>
        <w:spacing w:after="0" w:line="240" w:lineRule="auto"/>
        <w:rPr>
          <w:color w:val="44546A" w:themeColor="text2"/>
          <w:sz w:val="24"/>
          <w:szCs w:val="28"/>
        </w:rPr>
      </w:pPr>
      <w:r w:rsidRPr="00DC5D0D">
        <w:rPr>
          <w:color w:val="44546A" w:themeColor="text2"/>
          <w:sz w:val="24"/>
          <w:szCs w:val="28"/>
        </w:rPr>
        <w:t>Die FHA bringen viele Vorteile u. a. Zolleinsparungen für Schweizer Unternehmen, gesicherter Marktzugang und preiswerte Importe</w:t>
      </w:r>
    </w:p>
    <w:p w:rsidR="00DC5D0D" w:rsidRDefault="00DC5D0D">
      <w:pPr>
        <w:spacing w:after="0" w:line="240" w:lineRule="auto"/>
        <w:rPr>
          <w:color w:val="44546A" w:themeColor="text2"/>
          <w:sz w:val="24"/>
          <w:szCs w:val="28"/>
        </w:rPr>
      </w:pPr>
    </w:p>
    <w:p w:rsidR="00D222C9" w:rsidRPr="00D222C9" w:rsidRDefault="00D222C9">
      <w:pPr>
        <w:spacing w:after="0" w:line="240" w:lineRule="auto"/>
        <w:rPr>
          <w:sz w:val="24"/>
          <w:szCs w:val="24"/>
        </w:rPr>
      </w:pPr>
      <w:r w:rsidRPr="00D222C9">
        <w:rPr>
          <w:sz w:val="24"/>
          <w:szCs w:val="24"/>
        </w:rPr>
        <w:t xml:space="preserve">Bilaterale 1: </w:t>
      </w:r>
    </w:p>
    <w:p w:rsidR="00D222C9" w:rsidRDefault="00D222C9">
      <w:pPr>
        <w:spacing w:after="0" w:line="240" w:lineRule="auto"/>
        <w:rPr>
          <w:sz w:val="24"/>
          <w:szCs w:val="24"/>
        </w:rPr>
      </w:pPr>
      <w:r w:rsidRPr="00D222C9">
        <w:rPr>
          <w:sz w:val="24"/>
          <w:szCs w:val="24"/>
        </w:rPr>
        <w:t>besteht aus 7 Abkommen→ Personenfreizügigkeit, technischen Handelshemmnissen, Öffentlichen Aufträgen, Landwirtschaft, Landverkehr, Luftverkehr und Forschung</w:t>
      </w:r>
    </w:p>
    <w:p w:rsidR="00D222C9" w:rsidRPr="00D222C9" w:rsidRDefault="00D222C9">
      <w:pPr>
        <w:spacing w:after="0" w:line="240" w:lineRule="auto"/>
        <w:rPr>
          <w:sz w:val="24"/>
          <w:szCs w:val="24"/>
        </w:rPr>
      </w:pPr>
      <w:r w:rsidRPr="00D222C9">
        <w:rPr>
          <w:sz w:val="24"/>
          <w:szCs w:val="24"/>
        </w:rPr>
        <w:br/>
        <w:t>Bilaterale 2:</w:t>
      </w:r>
    </w:p>
    <w:p w:rsidR="00D222C9" w:rsidRDefault="00D222C9">
      <w:pPr>
        <w:spacing w:after="0" w:line="240" w:lineRule="auto"/>
        <w:rPr>
          <w:sz w:val="24"/>
          <w:szCs w:val="24"/>
        </w:rPr>
      </w:pPr>
      <w:r w:rsidRPr="00D222C9">
        <w:rPr>
          <w:sz w:val="24"/>
          <w:szCs w:val="24"/>
        </w:rPr>
        <w:t xml:space="preserve"> Beitritt der Schweiz zu den Abkommen von Dublin und Schengen bezüglich Sicherheit und Asyl, Ausweitung der Zusammenarbeit zur Klärung von Betrugsfällen, Abschluss der Verhandlungen über Landwirtschaftsprodukte, Umwelt, Medien, Bildung, Altersversorgung, Statistik und Dienstleistungen.</w:t>
      </w:r>
    </w:p>
    <w:p w:rsidR="0021519D" w:rsidRDefault="0021519D">
      <w:pPr>
        <w:spacing w:after="0" w:line="240" w:lineRule="auto"/>
        <w:rPr>
          <w:sz w:val="24"/>
          <w:szCs w:val="24"/>
        </w:rPr>
      </w:pPr>
    </w:p>
    <w:p w:rsidR="0021519D" w:rsidRDefault="0021519D">
      <w:pPr>
        <w:spacing w:after="0" w:line="240" w:lineRule="auto"/>
        <w:rPr>
          <w:sz w:val="24"/>
          <w:szCs w:val="24"/>
        </w:rPr>
      </w:pPr>
      <w:r>
        <w:rPr>
          <w:sz w:val="24"/>
          <w:szCs w:val="24"/>
        </w:rPr>
        <w:t>Guillotine-Klausel:</w:t>
      </w:r>
    </w:p>
    <w:p w:rsidR="0021519D" w:rsidRDefault="0021519D" w:rsidP="0021519D">
      <w:pPr>
        <w:pStyle w:val="Listenabsatz"/>
        <w:ind w:left="0"/>
        <w:rPr>
          <w:sz w:val="24"/>
          <w:szCs w:val="24"/>
        </w:rPr>
      </w:pPr>
      <w:r w:rsidRPr="0021519D">
        <w:rPr>
          <w:sz w:val="24"/>
          <w:szCs w:val="24"/>
        </w:rPr>
        <w:t>Darunter versteht man eine Klausel, die die Annahme eines Vertragspakets davon abhängig macht, dass alle Verträge angenommen werden. Wird nur einer der Verträge von einer Partei nicht angenommen oder später gekündigt, so gelten alle Verträge als nicht angenommen. Diese Klausel kommt zur Abwendung, wenn verhindert werden soll, dass eine Partei sich lediglich «die Rosinen aus dem Kuchen pickt».</w:t>
      </w:r>
    </w:p>
    <w:p w:rsidR="0021519D" w:rsidRDefault="0021519D" w:rsidP="0021519D">
      <w:pPr>
        <w:pStyle w:val="Listenabsatz"/>
        <w:ind w:left="0"/>
        <w:rPr>
          <w:sz w:val="24"/>
          <w:szCs w:val="24"/>
        </w:rPr>
      </w:pPr>
    </w:p>
    <w:p w:rsidR="0021519D" w:rsidRDefault="0021519D" w:rsidP="0021519D">
      <w:pPr>
        <w:pStyle w:val="Listenabsatz"/>
        <w:ind w:left="0"/>
        <w:rPr>
          <w:rFonts w:ascii="Arial" w:hAnsi="Arial" w:cs="Arial"/>
        </w:rPr>
      </w:pPr>
      <w:r>
        <w:rPr>
          <w:rFonts w:ascii="Arial" w:hAnsi="Arial" w:cs="Arial"/>
        </w:rPr>
        <w:t>Ursprungsregel</w:t>
      </w:r>
    </w:p>
    <w:p w:rsidR="0021519D" w:rsidRDefault="0021519D" w:rsidP="0021519D">
      <w:pPr>
        <w:pStyle w:val="Listenabsatz"/>
        <w:ind w:left="0"/>
        <w:rPr>
          <w:sz w:val="24"/>
          <w:szCs w:val="24"/>
        </w:rPr>
      </w:pPr>
      <w:r w:rsidRPr="0021519D">
        <w:rPr>
          <w:sz w:val="24"/>
          <w:szCs w:val="24"/>
        </w:rPr>
        <w:t xml:space="preserve">Die Zollvergünstigung bzw. die Zollbefreiung </w:t>
      </w:r>
      <w:proofErr w:type="gramStart"/>
      <w:r w:rsidRPr="0021519D">
        <w:rPr>
          <w:sz w:val="24"/>
          <w:szCs w:val="24"/>
        </w:rPr>
        <w:t>gilt</w:t>
      </w:r>
      <w:proofErr w:type="gramEnd"/>
      <w:r w:rsidRPr="0021519D">
        <w:rPr>
          <w:sz w:val="24"/>
          <w:szCs w:val="24"/>
        </w:rPr>
        <w:t xml:space="preserve"> nur, wenn das Produkt zum grössten Teil in dem Land hergestellt wird.</w:t>
      </w:r>
    </w:p>
    <w:p w:rsidR="0021519D" w:rsidRDefault="0021519D" w:rsidP="0021519D">
      <w:pPr>
        <w:pStyle w:val="Listenabsatz"/>
        <w:ind w:left="0"/>
        <w:rPr>
          <w:sz w:val="24"/>
          <w:szCs w:val="24"/>
        </w:rPr>
      </w:pPr>
    </w:p>
    <w:p w:rsidR="0021519D" w:rsidRDefault="0021519D" w:rsidP="0021519D">
      <w:pPr>
        <w:pStyle w:val="Listenabsatz"/>
        <w:ind w:left="0"/>
        <w:rPr>
          <w:sz w:val="24"/>
          <w:szCs w:val="24"/>
        </w:rPr>
      </w:pPr>
      <w:r>
        <w:rPr>
          <w:sz w:val="24"/>
          <w:szCs w:val="24"/>
        </w:rPr>
        <w:t xml:space="preserve">Zolleinnahmen = </w:t>
      </w:r>
      <w:r w:rsidRPr="0021519D">
        <w:rPr>
          <w:sz w:val="24"/>
          <w:szCs w:val="24"/>
        </w:rPr>
        <w:t>Zöllen, Schwerverkehrsabgabe, Mehrwertsteuer, Mineralöl</w:t>
      </w:r>
      <w:r>
        <w:rPr>
          <w:sz w:val="24"/>
          <w:szCs w:val="24"/>
        </w:rPr>
        <w:t xml:space="preserve">, </w:t>
      </w:r>
      <w:bookmarkStart w:id="0" w:name="_GoBack"/>
      <w:bookmarkEnd w:id="0"/>
      <w:r w:rsidRPr="0021519D">
        <w:rPr>
          <w:sz w:val="24"/>
          <w:szCs w:val="24"/>
        </w:rPr>
        <w:t>Tabaksteuer.</w:t>
      </w:r>
    </w:p>
    <w:p w:rsidR="0021519D" w:rsidRDefault="0021519D" w:rsidP="0021519D">
      <w:pPr>
        <w:pStyle w:val="Listenabsatz"/>
        <w:ind w:left="0"/>
        <w:rPr>
          <w:sz w:val="24"/>
          <w:szCs w:val="24"/>
        </w:rPr>
      </w:pPr>
    </w:p>
    <w:p w:rsidR="0021519D" w:rsidRDefault="0021519D" w:rsidP="0021519D">
      <w:pPr>
        <w:pStyle w:val="Listenabsatz"/>
        <w:ind w:left="0"/>
        <w:rPr>
          <w:sz w:val="24"/>
          <w:szCs w:val="24"/>
        </w:rPr>
      </w:pPr>
      <w:r>
        <w:rPr>
          <w:sz w:val="24"/>
          <w:szCs w:val="24"/>
        </w:rPr>
        <w:t>Export: 220.6 Mrd. 33% des BIP</w:t>
      </w:r>
    </w:p>
    <w:p w:rsidR="0021519D" w:rsidRDefault="0021519D" w:rsidP="0021519D">
      <w:pPr>
        <w:pStyle w:val="Listenabsatz"/>
        <w:ind w:left="0"/>
        <w:rPr>
          <w:sz w:val="24"/>
          <w:szCs w:val="24"/>
        </w:rPr>
      </w:pPr>
      <w:r>
        <w:rPr>
          <w:sz w:val="24"/>
          <w:szCs w:val="24"/>
        </w:rPr>
        <w:t xml:space="preserve">Import: 185.8 </w:t>
      </w:r>
      <w:proofErr w:type="spellStart"/>
      <w:r>
        <w:rPr>
          <w:sz w:val="24"/>
          <w:szCs w:val="24"/>
        </w:rPr>
        <w:t>Mrd</w:t>
      </w:r>
      <w:proofErr w:type="spellEnd"/>
    </w:p>
    <w:p w:rsidR="0021519D" w:rsidRDefault="0021519D" w:rsidP="0021519D">
      <w:pPr>
        <w:pStyle w:val="Listenabsatz"/>
        <w:ind w:left="0"/>
        <w:rPr>
          <w:sz w:val="24"/>
          <w:szCs w:val="24"/>
        </w:rPr>
      </w:pPr>
      <w:r>
        <w:rPr>
          <w:sz w:val="24"/>
          <w:szCs w:val="24"/>
        </w:rPr>
        <w:t>Handelsbilanz: 34.2Mrd</w:t>
      </w:r>
    </w:p>
    <w:p w:rsidR="0021519D" w:rsidRDefault="0021519D" w:rsidP="0021519D">
      <w:pPr>
        <w:pStyle w:val="Listenabsatz"/>
        <w:ind w:left="0"/>
        <w:rPr>
          <w:sz w:val="24"/>
          <w:szCs w:val="24"/>
        </w:rPr>
      </w:pPr>
      <w:r>
        <w:rPr>
          <w:sz w:val="24"/>
          <w:szCs w:val="24"/>
        </w:rPr>
        <w:t>Handelsdefizit = Import &gt; Export</w:t>
      </w:r>
    </w:p>
    <w:p w:rsidR="0021519D" w:rsidRPr="0021519D" w:rsidRDefault="0021519D" w:rsidP="0021519D">
      <w:pPr>
        <w:pStyle w:val="Listenabsatz"/>
        <w:ind w:left="0"/>
        <w:rPr>
          <w:sz w:val="24"/>
          <w:szCs w:val="24"/>
        </w:rPr>
      </w:pPr>
      <w:r>
        <w:rPr>
          <w:sz w:val="24"/>
          <w:szCs w:val="24"/>
        </w:rPr>
        <w:t>Handelsüberschuss Export &gt; Import</w:t>
      </w:r>
    </w:p>
    <w:p w:rsidR="0021519D" w:rsidRPr="00D222C9" w:rsidRDefault="0021519D">
      <w:pPr>
        <w:spacing w:after="0" w:line="240" w:lineRule="auto"/>
        <w:rPr>
          <w:sz w:val="24"/>
          <w:szCs w:val="24"/>
        </w:rPr>
      </w:pPr>
    </w:p>
    <w:sectPr w:rsidR="0021519D" w:rsidRPr="00D222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6C5B"/>
    <w:multiLevelType w:val="hybridMultilevel"/>
    <w:tmpl w:val="52305ECC"/>
    <w:lvl w:ilvl="0" w:tplc="08070001">
      <w:start w:val="1"/>
      <w:numFmt w:val="bullet"/>
      <w:lvlText w:val=""/>
      <w:lvlJc w:val="left"/>
      <w:pPr>
        <w:ind w:left="1800" w:hanging="360"/>
      </w:pPr>
      <w:rPr>
        <w:rFonts w:ascii="Symbol" w:hAnsi="Symbo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1" w15:restartNumberingAfterBreak="0">
    <w:nsid w:val="2048147A"/>
    <w:multiLevelType w:val="hybridMultilevel"/>
    <w:tmpl w:val="50869D7C"/>
    <w:lvl w:ilvl="0" w:tplc="20DACB46">
      <w:start w:val="1"/>
      <w:numFmt w:val="bullet"/>
      <w:lvlText w:val=""/>
      <w:lvlJc w:val="left"/>
      <w:pPr>
        <w:ind w:left="1440" w:hanging="360"/>
      </w:pPr>
      <w:rPr>
        <w:rFonts w:ascii="Symbol" w:hAnsi="Symbol" w:hint="default"/>
        <w:color w:val="FF0000"/>
      </w:rPr>
    </w:lvl>
    <w:lvl w:ilvl="1" w:tplc="08070003">
      <w:start w:val="1"/>
      <w:numFmt w:val="bullet"/>
      <w:lvlText w:val="o"/>
      <w:lvlJc w:val="left"/>
      <w:pPr>
        <w:ind w:left="2160" w:hanging="360"/>
      </w:pPr>
      <w:rPr>
        <w:rFonts w:ascii="Courier New" w:hAnsi="Courier New" w:cs="Courier New" w:hint="default"/>
      </w:rPr>
    </w:lvl>
    <w:lvl w:ilvl="2" w:tplc="08070005">
      <w:start w:val="1"/>
      <w:numFmt w:val="bullet"/>
      <w:lvlText w:val=""/>
      <w:lvlJc w:val="left"/>
      <w:pPr>
        <w:ind w:left="2880" w:hanging="360"/>
      </w:pPr>
      <w:rPr>
        <w:rFonts w:ascii="Wingdings" w:hAnsi="Wingdings" w:hint="default"/>
      </w:rPr>
    </w:lvl>
    <w:lvl w:ilvl="3" w:tplc="08070001">
      <w:start w:val="1"/>
      <w:numFmt w:val="bullet"/>
      <w:lvlText w:val=""/>
      <w:lvlJc w:val="left"/>
      <w:pPr>
        <w:ind w:left="3600" w:hanging="360"/>
      </w:pPr>
      <w:rPr>
        <w:rFonts w:ascii="Symbol" w:hAnsi="Symbol" w:hint="default"/>
      </w:rPr>
    </w:lvl>
    <w:lvl w:ilvl="4" w:tplc="08070003">
      <w:start w:val="1"/>
      <w:numFmt w:val="bullet"/>
      <w:lvlText w:val="o"/>
      <w:lvlJc w:val="left"/>
      <w:pPr>
        <w:ind w:left="4320" w:hanging="360"/>
      </w:pPr>
      <w:rPr>
        <w:rFonts w:ascii="Courier New" w:hAnsi="Courier New" w:cs="Courier New" w:hint="default"/>
      </w:rPr>
    </w:lvl>
    <w:lvl w:ilvl="5" w:tplc="08070005">
      <w:start w:val="1"/>
      <w:numFmt w:val="bullet"/>
      <w:lvlText w:val=""/>
      <w:lvlJc w:val="left"/>
      <w:pPr>
        <w:ind w:left="5040" w:hanging="360"/>
      </w:pPr>
      <w:rPr>
        <w:rFonts w:ascii="Wingdings" w:hAnsi="Wingdings" w:hint="default"/>
      </w:rPr>
    </w:lvl>
    <w:lvl w:ilvl="6" w:tplc="08070001">
      <w:start w:val="1"/>
      <w:numFmt w:val="bullet"/>
      <w:lvlText w:val=""/>
      <w:lvlJc w:val="left"/>
      <w:pPr>
        <w:ind w:left="5760" w:hanging="360"/>
      </w:pPr>
      <w:rPr>
        <w:rFonts w:ascii="Symbol" w:hAnsi="Symbol" w:hint="default"/>
      </w:rPr>
    </w:lvl>
    <w:lvl w:ilvl="7" w:tplc="08070003">
      <w:start w:val="1"/>
      <w:numFmt w:val="bullet"/>
      <w:lvlText w:val="o"/>
      <w:lvlJc w:val="left"/>
      <w:pPr>
        <w:ind w:left="6480" w:hanging="360"/>
      </w:pPr>
      <w:rPr>
        <w:rFonts w:ascii="Courier New" w:hAnsi="Courier New" w:cs="Courier New" w:hint="default"/>
      </w:rPr>
    </w:lvl>
    <w:lvl w:ilvl="8" w:tplc="08070005">
      <w:start w:val="1"/>
      <w:numFmt w:val="bullet"/>
      <w:lvlText w:val=""/>
      <w:lvlJc w:val="left"/>
      <w:pPr>
        <w:ind w:left="7200" w:hanging="360"/>
      </w:pPr>
      <w:rPr>
        <w:rFonts w:ascii="Wingdings" w:hAnsi="Wingdings" w:hint="default"/>
      </w:rPr>
    </w:lvl>
  </w:abstractNum>
  <w:abstractNum w:abstractNumId="2" w15:restartNumberingAfterBreak="0">
    <w:nsid w:val="5BCE3DC4"/>
    <w:multiLevelType w:val="hybridMultilevel"/>
    <w:tmpl w:val="3A900586"/>
    <w:lvl w:ilvl="0" w:tplc="518E04D6">
      <w:start w:val="1"/>
      <w:numFmt w:val="decimal"/>
      <w:lvlText w:val="%1."/>
      <w:lvlJc w:val="left"/>
      <w:pPr>
        <w:ind w:left="720" w:hanging="360"/>
      </w:pPr>
      <w:rPr>
        <w:color w:val="auto"/>
        <w:sz w:val="28"/>
        <w:szCs w:val="28"/>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3" w15:restartNumberingAfterBreak="0">
    <w:nsid w:val="6D4D6724"/>
    <w:multiLevelType w:val="hybridMultilevel"/>
    <w:tmpl w:val="3272BF5C"/>
    <w:lvl w:ilvl="0" w:tplc="08070001">
      <w:start w:val="1"/>
      <w:numFmt w:val="bullet"/>
      <w:lvlText w:val=""/>
      <w:lvlJc w:val="left"/>
      <w:pPr>
        <w:ind w:left="1440" w:hanging="360"/>
      </w:pPr>
      <w:rPr>
        <w:rFonts w:ascii="Symbol" w:hAnsi="Symbol" w:hint="default"/>
        <w:color w:val="FF0000"/>
      </w:rPr>
    </w:lvl>
    <w:lvl w:ilvl="1" w:tplc="08070003">
      <w:start w:val="1"/>
      <w:numFmt w:val="bullet"/>
      <w:lvlText w:val="o"/>
      <w:lvlJc w:val="left"/>
      <w:pPr>
        <w:ind w:left="2160" w:hanging="360"/>
      </w:pPr>
      <w:rPr>
        <w:rFonts w:ascii="Courier New" w:hAnsi="Courier New" w:cs="Courier New" w:hint="default"/>
      </w:rPr>
    </w:lvl>
    <w:lvl w:ilvl="2" w:tplc="08070005">
      <w:start w:val="1"/>
      <w:numFmt w:val="bullet"/>
      <w:lvlText w:val=""/>
      <w:lvlJc w:val="left"/>
      <w:pPr>
        <w:ind w:left="2880" w:hanging="360"/>
      </w:pPr>
      <w:rPr>
        <w:rFonts w:ascii="Wingdings" w:hAnsi="Wingdings" w:hint="default"/>
      </w:rPr>
    </w:lvl>
    <w:lvl w:ilvl="3" w:tplc="08070001">
      <w:start w:val="1"/>
      <w:numFmt w:val="bullet"/>
      <w:lvlText w:val=""/>
      <w:lvlJc w:val="left"/>
      <w:pPr>
        <w:ind w:left="3600" w:hanging="360"/>
      </w:pPr>
      <w:rPr>
        <w:rFonts w:ascii="Symbol" w:hAnsi="Symbol" w:hint="default"/>
      </w:rPr>
    </w:lvl>
    <w:lvl w:ilvl="4" w:tplc="08070003">
      <w:start w:val="1"/>
      <w:numFmt w:val="bullet"/>
      <w:lvlText w:val="o"/>
      <w:lvlJc w:val="left"/>
      <w:pPr>
        <w:ind w:left="4320" w:hanging="360"/>
      </w:pPr>
      <w:rPr>
        <w:rFonts w:ascii="Courier New" w:hAnsi="Courier New" w:cs="Courier New" w:hint="default"/>
      </w:rPr>
    </w:lvl>
    <w:lvl w:ilvl="5" w:tplc="08070005">
      <w:start w:val="1"/>
      <w:numFmt w:val="bullet"/>
      <w:lvlText w:val=""/>
      <w:lvlJc w:val="left"/>
      <w:pPr>
        <w:ind w:left="5040" w:hanging="360"/>
      </w:pPr>
      <w:rPr>
        <w:rFonts w:ascii="Wingdings" w:hAnsi="Wingdings" w:hint="default"/>
      </w:rPr>
    </w:lvl>
    <w:lvl w:ilvl="6" w:tplc="08070001">
      <w:start w:val="1"/>
      <w:numFmt w:val="bullet"/>
      <w:lvlText w:val=""/>
      <w:lvlJc w:val="left"/>
      <w:pPr>
        <w:ind w:left="5760" w:hanging="360"/>
      </w:pPr>
      <w:rPr>
        <w:rFonts w:ascii="Symbol" w:hAnsi="Symbol" w:hint="default"/>
      </w:rPr>
    </w:lvl>
    <w:lvl w:ilvl="7" w:tplc="08070003">
      <w:start w:val="1"/>
      <w:numFmt w:val="bullet"/>
      <w:lvlText w:val="o"/>
      <w:lvlJc w:val="left"/>
      <w:pPr>
        <w:ind w:left="6480" w:hanging="360"/>
      </w:pPr>
      <w:rPr>
        <w:rFonts w:ascii="Courier New" w:hAnsi="Courier New" w:cs="Courier New" w:hint="default"/>
      </w:rPr>
    </w:lvl>
    <w:lvl w:ilvl="8" w:tplc="08070005">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72"/>
    <w:rsid w:val="00090564"/>
    <w:rsid w:val="0021519D"/>
    <w:rsid w:val="003B5145"/>
    <w:rsid w:val="00621D21"/>
    <w:rsid w:val="00914672"/>
    <w:rsid w:val="00B256E2"/>
    <w:rsid w:val="00CA35F0"/>
    <w:rsid w:val="00D222C9"/>
    <w:rsid w:val="00DC5D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1BE8"/>
  <w15:chartTrackingRefBased/>
  <w15:docId w15:val="{DDA5F638-6B22-4470-9E29-B745E719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lfuvd">
    <w:name w:val="ilfuvd"/>
    <w:basedOn w:val="Absatz-Standardschriftart"/>
    <w:rsid w:val="00B256E2"/>
  </w:style>
  <w:style w:type="table" w:styleId="Tabellenraster">
    <w:name w:val="Table Grid"/>
    <w:basedOn w:val="NormaleTabelle"/>
    <w:uiPriority w:val="39"/>
    <w:rsid w:val="00B25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C5D0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792128">
      <w:bodyDiv w:val="1"/>
      <w:marLeft w:val="0"/>
      <w:marRight w:val="0"/>
      <w:marTop w:val="0"/>
      <w:marBottom w:val="0"/>
      <w:divBdr>
        <w:top w:val="none" w:sz="0" w:space="0" w:color="auto"/>
        <w:left w:val="none" w:sz="0" w:space="0" w:color="auto"/>
        <w:bottom w:val="none" w:sz="0" w:space="0" w:color="auto"/>
        <w:right w:val="none" w:sz="0" w:space="0" w:color="auto"/>
      </w:divBdr>
    </w:div>
    <w:div w:id="151927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2758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3</cp:revision>
  <dcterms:created xsi:type="dcterms:W3CDTF">2019-04-08T15:30:00Z</dcterms:created>
  <dcterms:modified xsi:type="dcterms:W3CDTF">2019-04-08T17:52:00Z</dcterms:modified>
</cp:coreProperties>
</file>