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5276"/>
          <w:sz w:val="44"/>
        </w:rPr>
        <w:t>IT ASSET LIFECYCLE PLATFORM (NOVA)</w:t>
      </w:r>
    </w:p>
    <w:p>
      <w:pPr>
        <w:jc w:val="center"/>
      </w:pPr>
      <w:r>
        <w:rPr>
          <w:i/>
          <w:color w:val="787878"/>
          <w:sz w:val="24"/>
        </w:rPr>
        <w:t>Buku Panduan Operasional &amp; Penggunaan Aplikasi (Singkat &amp; Padat)</w:t>
      </w:r>
    </w:p>
    <w:p>
      <w:pPr>
        <w:jc w:val="center"/>
      </w:pPr>
      <w:r>
        <w:rPr>
          <w:color w:val="969696"/>
          <w:sz w:val="18"/>
        </w:rPr>
        <w:t>Dibuat oleh: Software Engineering Team | Versi 1.0 (Mei 2026)</w:t>
      </w:r>
    </w:p>
    <w:p>
      <w:pPr>
        <w:spacing w:after="400"/>
      </w:pPr>
    </w:p>
    <w:p>
      <w:pPr>
        <w:pStyle w:val="Heading1"/>
        <w:spacing w:before="300" w:after="120"/>
      </w:pPr>
      <w:r>
        <w:rPr>
          <w:rFonts w:ascii="Arial" w:hAnsi="Arial"/>
          <w:color w:val="1A5276"/>
          <w:sz w:val="28"/>
        </w:rPr>
        <w:t>1. PENDAHULUAN</w:t>
      </w:r>
    </w:p>
    <w:p>
      <w:r>
        <w:t>IT Asset Lifecycle Platform (NOVA) adalah sistem terintegrasi yang dirancang khusus untuk mengelola seluruh siklus hidup aset IT (PC, Laptop, Printer, Network Device, dll.) di lingkungan internal perusahaan secara real-time. Sistem ini membantu meminimalkan risiko kepatuhan dengan menghubungkan pelacakan aset fisik dengan manajemen karyawan, terutama dalam proses pengalihan aset dan offboarding karyawan.</w:t>
      </w:r>
    </w:p>
    <w:p>
      <w:pPr>
        <w:pStyle w:val="Heading1"/>
        <w:spacing w:before="300" w:after="120"/>
      </w:pPr>
      <w:r>
        <w:rPr>
          <w:rFonts w:ascii="Arial" w:hAnsi="Arial"/>
          <w:color w:val="1A5276"/>
          <w:sz w:val="28"/>
        </w:rPr>
        <w:t>2. WORKFLOW UTAMA SIKLUS HIDUP ASET</w:t>
      </w:r>
    </w:p>
    <w:p>
      <w:r>
        <w:t>Aset IT di dalam platform ini mengikuti siklus hidup terstruktur dari registrasi hingga penonaktifan:</w:t>
      </w:r>
    </w:p>
    <w:p>
      <w:r>
        <w:rPr>
          <w:b/>
        </w:rPr>
        <w:t xml:space="preserve">1. Registrasi (Add Asset): </w:t>
      </w:r>
      <w:r>
        <w:t xml:space="preserve">Aset baru didaftarkan ke sistem dan masuk ke status awal </w:t>
      </w:r>
      <w:r>
        <w:rPr>
          <w:i/>
        </w:rPr>
        <w:t>Available</w:t>
      </w:r>
      <w:r>
        <w:t>.</w:t>
        <w:br/>
      </w:r>
      <w:r>
        <w:rPr>
          <w:b/>
        </w:rPr>
        <w:t xml:space="preserve">2. Penugasan (Assign): </w:t>
      </w:r>
      <w:r>
        <w:t xml:space="preserve">Aset diserahkan kepada karyawan tertentu, mengubah statusnya menjadi </w:t>
      </w:r>
      <w:r>
        <w:rPr>
          <w:i/>
        </w:rPr>
        <w:t>Assigned</w:t>
      </w:r>
      <w:r>
        <w:t>.</w:t>
        <w:br/>
      </w:r>
      <w:r>
        <w:rPr>
          <w:b/>
        </w:rPr>
        <w:t xml:space="preserve">3. Mutasi Lokasi (Transfer): </w:t>
      </w:r>
      <w:r>
        <w:t xml:space="preserve">Aset dipindahkan antar cabang/store dengan status perantara </w:t>
      </w:r>
      <w:r>
        <w:rPr>
          <w:i/>
        </w:rPr>
        <w:t>In Transfer</w:t>
      </w:r>
      <w:r>
        <w:t xml:space="preserve"> sebelum dikonfirmasi sampai di tujuan.</w:t>
        <w:br/>
      </w:r>
      <w:r>
        <w:rPr>
          <w:b/>
        </w:rPr>
        <w:t xml:space="preserve">4. Pemeliharaan (Service): </w:t>
      </w:r>
      <w:r>
        <w:t xml:space="preserve">Aset yang rusak dikirim ke vendor dengan menerbitkan tiket servis, merubah status menjadi </w:t>
      </w:r>
      <w:r>
        <w:rPr>
          <w:i/>
        </w:rPr>
        <w:t>On Service</w:t>
      </w:r>
      <w:r>
        <w:t>.</w:t>
        <w:br/>
      </w:r>
      <w:r>
        <w:rPr>
          <w:b/>
        </w:rPr>
        <w:t xml:space="preserve">5. Penghapusan (Disposal/Retired): </w:t>
      </w:r>
      <w:r>
        <w:t xml:space="preserve">Aset yang rusak permanen atau usang dinonaktifkan secara permanen ke status </w:t>
      </w:r>
      <w:r>
        <w:rPr>
          <w:i/>
        </w:rPr>
        <w:t>Retired</w:t>
      </w:r>
      <w:r>
        <w:t>.</w:t>
      </w:r>
    </w:p>
    <w:p>
      <w:pPr>
        <w:pStyle w:val="Heading1"/>
        <w:spacing w:before="300" w:after="120"/>
      </w:pPr>
      <w:r>
        <w:rPr>
          <w:rFonts w:ascii="Arial" w:hAnsi="Arial"/>
          <w:color w:val="1A5276"/>
          <w:sz w:val="28"/>
        </w:rPr>
        <w:t>3. PANDUAN PENGGUNAAN PER MODUL</w:t>
      </w:r>
    </w:p>
    <w:p>
      <w:pPr>
        <w:pStyle w:val="Heading2"/>
        <w:spacing w:before="200" w:after="80"/>
      </w:pPr>
      <w:r>
        <w:rPr>
          <w:rFonts w:ascii="Arial" w:hAnsi="Arial"/>
          <w:color w:val="2874A6"/>
          <w:sz w:val="24"/>
        </w:rPr>
        <w:t>A. Modul Assets (Pusat Inventaris &amp; Mutasi)</w:t>
      </w:r>
    </w:p>
    <w:p>
      <w:pPr>
        <w:pStyle w:val="ListBullet"/>
      </w:pPr>
      <w:r>
        <w:rPr>
          <w:b/>
        </w:rPr>
        <w:t xml:space="preserve">Tambah Aset Baru: </w:t>
      </w:r>
      <w:r>
        <w:t>Masuk ke Assets &gt; All Assets &gt; klik Add Asset. Isi data utama: Asset Code (unik), Nama, Kategori, Serial Number, Nomor PO, Nama Vendor, Status awal (Available), dan lokasi penyimpanan. Klik Save.</w:t>
      </w:r>
    </w:p>
    <w:p>
      <w:pPr>
        <w:pStyle w:val="ListBullet"/>
      </w:pPr>
      <w:r>
        <w:rPr>
          <w:b/>
        </w:rPr>
        <w:t xml:space="preserve">Melakukan Transfer Aset: </w:t>
      </w:r>
      <w:r>
        <w:t>Masuk ke Assets &gt; Transfer Asset. Pilih aset yang ingin ditransfer, pilih lokasi tujuan, dan tambahkan catatan pendukung. Klik Transfer. Aset akan berada dalam perjalanan (In Transfer) hingga admin lokasi tujuan mengonfirmasi kedatangan.</w:t>
      </w:r>
    </w:p>
    <w:p>
      <w:pPr>
        <w:pStyle w:val="ListBullet"/>
      </w:pPr>
      <w:r>
        <w:rPr>
          <w:b/>
        </w:rPr>
        <w:t xml:space="preserve">Penugasan Aset ke Karyawan: </w:t>
      </w:r>
      <w:r>
        <w:t>Masuk ke Assets &gt; Asset Assignment. Pilih aset, pilih nama karyawan penerima tanggung jawab, dan klik Assign.</w:t>
      </w:r>
    </w:p>
    <w:p>
      <w:pPr>
        <w:pStyle w:val="Heading2"/>
        <w:spacing w:before="200" w:after="80"/>
      </w:pPr>
      <w:r>
        <w:rPr>
          <w:rFonts w:ascii="Arial" w:hAnsi="Arial"/>
          <w:color w:val="2874A6"/>
          <w:sz w:val="24"/>
        </w:rPr>
        <w:t>B. Modul Services (Pemeliharaan &amp; Vendor)</w:t>
      </w:r>
    </w:p>
    <w:p>
      <w:pPr>
        <w:pStyle w:val="ListBullet"/>
      </w:pPr>
      <w:r>
        <w:rPr>
          <w:b/>
        </w:rPr>
        <w:t xml:space="preserve">Membuat Tiket Servis (Create Service Ticket): </w:t>
      </w:r>
      <w:r>
        <w:t>Masuk ke Services &gt; Active Services &gt; klik New Service. Pilih tipe aset: Registered Asset (aset terdaftar) atau Ad-Hoc Item (belum terdaftar). Pilih nama Vendor, isi tanggal pickup/kirim, dan tulis kendala teknis aset pada Note. Klik Create Service Ticket.</w:t>
      </w:r>
    </w:p>
    <w:p>
      <w:pPr>
        <w:pStyle w:val="ListBullet"/>
      </w:pPr>
      <w:r>
        <w:rPr>
          <w:b/>
        </w:rPr>
        <w:t xml:space="preserve">Vendor Follow Up: </w:t>
      </w:r>
      <w:r>
        <w:t>Gunakan fitur ini untuk memantau waktu perbaikan. Sistem akan otomatis menandai servis sebagai 'Overdue' jika melebihi SLA hari kerja dari vendor terkait untuk segera ditindaklanjuti.</w:t>
      </w:r>
    </w:p>
    <w:p>
      <w:pPr>
        <w:pStyle w:val="Heading2"/>
        <w:spacing w:before="200" w:after="80"/>
      </w:pPr>
      <w:r>
        <w:rPr>
          <w:rFonts w:ascii="Arial" w:hAnsi="Arial"/>
          <w:color w:val="2874A6"/>
          <w:sz w:val="24"/>
        </w:rPr>
        <w:t>C. Modul Tasks (Pekerjaan Operasional IT)</w:t>
      </w:r>
    </w:p>
    <w:p>
      <w:pPr>
        <w:pStyle w:val="ListBullet"/>
      </w:pPr>
      <w:r>
        <w:rPr>
          <w:b/>
        </w:rPr>
        <w:t xml:space="preserve">Membuat Task Baru: </w:t>
      </w:r>
      <w:r>
        <w:t>Masuk ke Tasks &gt; Create Task. Berikan Title tugas, deskripsi instruksi pekerjaan, hubungkan dengan Aset Terkait (opsional), tentukan tingkat Priority (Low, Medium, High), pilih penanggung jawab di Assigned To, serta Due Date pekerjaan. Klik Create Task.</w:t>
      </w:r>
    </w:p>
    <w:p>
      <w:pPr>
        <w:pStyle w:val="ListBullet"/>
      </w:pPr>
      <w:r>
        <w:rPr>
          <w:b/>
        </w:rPr>
        <w:t xml:space="preserve">Mengelola Pekerjaan (My Tasks): </w:t>
      </w:r>
      <w:r>
        <w:t>Staf IT dapat melihat daftar pekerjaan yang ditugaskan kepada mereka pada menu My Tasks. Klik Edit pada task untuk merubah status pengerjaan (Open -&gt; Progress -&gt; Done) secara berkala.</w:t>
      </w:r>
    </w:p>
    <w:p>
      <w:pPr>
        <w:pStyle w:val="Heading2"/>
        <w:spacing w:before="200" w:after="80"/>
      </w:pPr>
      <w:r>
        <w:rPr>
          <w:rFonts w:ascii="Arial" w:hAnsi="Arial"/>
          <w:color w:val="2874A6"/>
          <w:sz w:val="24"/>
        </w:rPr>
        <w:t>D. Modul Employees &amp; Exit Clearance (Offboarding Karyawan)</w:t>
      </w:r>
    </w:p>
    <w:p>
      <w:r>
        <w:t>Modul ini dirancang khusus untuk memastikan keamanan data dan fisik perusahaan saat karyawan berhenti bekerja:</w:t>
      </w:r>
    </w:p>
    <w:p>
      <w:pPr>
        <w:pStyle w:val="ListNumber"/>
      </w:pPr>
      <w:r>
        <w:rPr>
          <w:b/>
        </w:rPr>
        <w:t xml:space="preserve">Proses Pengajuan Resign: </w:t>
      </w:r>
      <w:r>
        <w:t>Masuk ke menu Employees &gt; Employee List. Cari karyawan bersangkutan, klik nama karyawan untuk membuka detail. Klik tombol Mark as Resigned di sudut kanan atas.</w:t>
      </w:r>
    </w:p>
    <w:p>
      <w:pPr>
        <w:pStyle w:val="ListNumber"/>
      </w:pPr>
      <w:r>
        <w:rPr>
          <w:b/>
        </w:rPr>
        <w:t xml:space="preserve">Penyelesaian Exit Clearance (Real-time Checklist): </w:t>
      </w:r>
      <w:r>
        <w:t>Saat status berubah menjadi Resigned, sistem secara dinamis memetakan aset fisik yang sedang dipegang karyawan dan hak akses digital (seperti Email, ERP, dll.). Admin harus memproses pengembalian aset satu per satu dengan menekan tombol Return Asset, dan menonaktifkan akun digital dengan mengklik Revoke Access. Status akhir akan otomatis menjadi Clearance Complete setelah semua item berstatus Clear.</w:t>
      </w:r>
    </w:p>
    <w:p>
      <w:pPr>
        <w:pStyle w:val="Heading1"/>
        <w:spacing w:before="300" w:after="120"/>
      </w:pPr>
      <w:r>
        <w:rPr>
          <w:rFonts w:ascii="Arial" w:hAnsi="Arial"/>
          <w:color w:val="1A5276"/>
          <w:sz w:val="28"/>
        </w:rPr>
        <w:t>4. GLOSARIUM STATUS SISTEM</w:t>
      </w:r>
    </w:p>
    <w:p>
      <w:r>
        <w:t>Berikut adalah referensi cepat mengenai status/state yang digunakan di dalam sistem IT Asset Lifecycle:</w:t>
      </w:r>
    </w:p>
    <w:tbl>
      <w:tblPr>
        <w:tblStyle w:val="TableGrid"/>
        <w:tblW w:type="auto" w:w="0"/>
        <w:tblLook w:firstColumn="1" w:firstRow="1" w:lastColumn="0" w:lastRow="0" w:noHBand="0" w:noVBand="1" w:val="04A0"/>
      </w:tblPr>
      <w:tblGrid>
        <w:gridCol w:w="3120"/>
        <w:gridCol w:w="3120"/>
        <w:gridCol w:w="3120"/>
      </w:tblGrid>
      <w:tr>
        <w:tc>
          <w:tcPr>
            <w:tcW w:type="dxa" w:w="3120"/>
            <w:shd w:fill="1A5276"/>
            <w:tcMar>
              <w:top w:w="140" w:type="dxa"/>
              <w:bottom w:w="140" w:type="dxa"/>
              <w:left w:w="180" w:type="dxa"/>
              <w:right w:w="180" w:type="dxa"/>
            </w:tcMar>
          </w:tcPr>
          <w:p>
            <w:r>
              <w:rPr>
                <w:rFonts w:ascii="Arial" w:hAnsi="Arial"/>
                <w:b/>
                <w:color w:val="FFFFFF"/>
                <w:sz w:val="20"/>
              </w:rPr>
              <w:t>Kategori Status</w:t>
            </w:r>
          </w:p>
        </w:tc>
        <w:tc>
          <w:tcPr>
            <w:tcW w:type="dxa" w:w="3120"/>
            <w:shd w:fill="1A5276"/>
            <w:tcMar>
              <w:top w:w="140" w:type="dxa"/>
              <w:bottom w:w="140" w:type="dxa"/>
              <w:left w:w="180" w:type="dxa"/>
              <w:right w:w="180" w:type="dxa"/>
            </w:tcMar>
          </w:tcPr>
          <w:p>
            <w:r>
              <w:rPr>
                <w:rFonts w:ascii="Arial" w:hAnsi="Arial"/>
                <w:b/>
                <w:color w:val="FFFFFF"/>
                <w:sz w:val="20"/>
              </w:rPr>
              <w:t>Nama Status</w:t>
            </w:r>
          </w:p>
        </w:tc>
        <w:tc>
          <w:tcPr>
            <w:tcW w:type="dxa" w:w="3120"/>
            <w:shd w:fill="1A5276"/>
            <w:tcMar>
              <w:top w:w="140" w:type="dxa"/>
              <w:bottom w:w="140" w:type="dxa"/>
              <w:left w:w="180" w:type="dxa"/>
              <w:right w:w="180" w:type="dxa"/>
            </w:tcMar>
          </w:tcPr>
          <w:p>
            <w:r>
              <w:rPr>
                <w:rFonts w:ascii="Arial" w:hAnsi="Arial"/>
                <w:b/>
                <w:color w:val="FFFFFF"/>
                <w:sz w:val="20"/>
              </w:rPr>
              <w:t>Keterangan/Arti</w:t>
            </w:r>
          </w:p>
        </w:tc>
      </w:tr>
      <w:tr>
        <w:tc>
          <w:tcPr>
            <w:tcW w:type="dxa" w:w="3120"/>
            <w:shd w:fill="F4F6F7"/>
            <w:tcMar>
              <w:top w:w="100" w:type="dxa"/>
              <w:bottom w:w="100" w:type="dxa"/>
              <w:left w:w="150" w:type="dxa"/>
              <w:right w:w="150" w:type="dxa"/>
            </w:tcMar>
          </w:tcPr>
          <w:p>
            <w:r>
              <w:rPr>
                <w:rFonts w:ascii="Calibri" w:hAnsi="Calibri"/>
                <w:sz w:val="19"/>
              </w:rPr>
              <w:t>Asset Status</w:t>
            </w:r>
          </w:p>
        </w:tc>
        <w:tc>
          <w:tcPr>
            <w:tcW w:type="dxa" w:w="3120"/>
            <w:shd w:fill="F4F6F7"/>
            <w:tcMar>
              <w:top w:w="100" w:type="dxa"/>
              <w:bottom w:w="100" w:type="dxa"/>
              <w:left w:w="150" w:type="dxa"/>
              <w:right w:w="150" w:type="dxa"/>
            </w:tcMar>
          </w:tcPr>
          <w:p>
            <w:r>
              <w:rPr>
                <w:rFonts w:ascii="Calibri" w:hAnsi="Calibri"/>
                <w:b/>
                <w:sz w:val="19"/>
              </w:rPr>
              <w:t>Available</w:t>
            </w:r>
          </w:p>
        </w:tc>
        <w:tc>
          <w:tcPr>
            <w:tcW w:type="dxa" w:w="3120"/>
            <w:shd w:fill="F4F6F7"/>
            <w:tcMar>
              <w:top w:w="100" w:type="dxa"/>
              <w:bottom w:w="100" w:type="dxa"/>
              <w:left w:w="150" w:type="dxa"/>
              <w:right w:w="150" w:type="dxa"/>
            </w:tcMar>
          </w:tcPr>
          <w:p>
            <w:r>
              <w:rPr>
                <w:rFonts w:ascii="Calibri" w:hAnsi="Calibri"/>
                <w:sz w:val="19"/>
              </w:rPr>
              <w:t>Aset dalam kondisi baik dan siap ditugaskan ke karyawan atau cabang.</w:t>
            </w:r>
          </w:p>
        </w:tc>
      </w:tr>
      <w:tr>
        <w:tc>
          <w:tcPr>
            <w:tcW w:type="dxa" w:w="3120"/>
            <w:shd w:fill="FFFFFF"/>
            <w:tcMar>
              <w:top w:w="100" w:type="dxa"/>
              <w:bottom w:w="100" w:type="dxa"/>
              <w:left w:w="150" w:type="dxa"/>
              <w:right w:w="150" w:type="dxa"/>
            </w:tcMar>
          </w:tcPr>
          <w:p>
            <w:r>
              <w:rPr>
                <w:rFonts w:ascii="Calibri" w:hAnsi="Calibri"/>
                <w:sz w:val="19"/>
              </w:rPr>
              <w:t>Asset Status</w:t>
            </w:r>
          </w:p>
        </w:tc>
        <w:tc>
          <w:tcPr>
            <w:tcW w:type="dxa" w:w="3120"/>
            <w:shd w:fill="FFFFFF"/>
            <w:tcMar>
              <w:top w:w="100" w:type="dxa"/>
              <w:bottom w:w="100" w:type="dxa"/>
              <w:left w:w="150" w:type="dxa"/>
              <w:right w:w="150" w:type="dxa"/>
            </w:tcMar>
          </w:tcPr>
          <w:p>
            <w:r>
              <w:rPr>
                <w:rFonts w:ascii="Calibri" w:hAnsi="Calibri"/>
                <w:b/>
                <w:sz w:val="19"/>
              </w:rPr>
              <w:t>Assigned</w:t>
            </w:r>
          </w:p>
        </w:tc>
        <w:tc>
          <w:tcPr>
            <w:tcW w:type="dxa" w:w="3120"/>
            <w:shd w:fill="FFFFFF"/>
            <w:tcMar>
              <w:top w:w="100" w:type="dxa"/>
              <w:bottom w:w="100" w:type="dxa"/>
              <w:left w:w="150" w:type="dxa"/>
              <w:right w:w="150" w:type="dxa"/>
            </w:tcMar>
          </w:tcPr>
          <w:p>
            <w:r>
              <w:rPr>
                <w:rFonts w:ascii="Calibri" w:hAnsi="Calibri"/>
                <w:sz w:val="19"/>
              </w:rPr>
              <w:t>Aset sedang dipegang/digunakan secara aktif oleh karyawan.</w:t>
            </w:r>
          </w:p>
        </w:tc>
      </w:tr>
      <w:tr>
        <w:tc>
          <w:tcPr>
            <w:tcW w:type="dxa" w:w="3120"/>
            <w:shd w:fill="F4F6F7"/>
            <w:tcMar>
              <w:top w:w="100" w:type="dxa"/>
              <w:bottom w:w="100" w:type="dxa"/>
              <w:left w:w="150" w:type="dxa"/>
              <w:right w:w="150" w:type="dxa"/>
            </w:tcMar>
          </w:tcPr>
          <w:p>
            <w:r>
              <w:rPr>
                <w:rFonts w:ascii="Calibri" w:hAnsi="Calibri"/>
                <w:sz w:val="19"/>
              </w:rPr>
              <w:t>Asset Status</w:t>
            </w:r>
          </w:p>
        </w:tc>
        <w:tc>
          <w:tcPr>
            <w:tcW w:type="dxa" w:w="3120"/>
            <w:shd w:fill="F4F6F7"/>
            <w:tcMar>
              <w:top w:w="100" w:type="dxa"/>
              <w:bottom w:w="100" w:type="dxa"/>
              <w:left w:w="150" w:type="dxa"/>
              <w:right w:w="150" w:type="dxa"/>
            </w:tcMar>
          </w:tcPr>
          <w:p>
            <w:r>
              <w:rPr>
                <w:rFonts w:ascii="Calibri" w:hAnsi="Calibri"/>
                <w:b/>
                <w:sz w:val="19"/>
              </w:rPr>
              <w:t>On Store</w:t>
            </w:r>
          </w:p>
        </w:tc>
        <w:tc>
          <w:tcPr>
            <w:tcW w:type="dxa" w:w="3120"/>
            <w:shd w:fill="F4F6F7"/>
            <w:tcMar>
              <w:top w:w="100" w:type="dxa"/>
              <w:bottom w:w="100" w:type="dxa"/>
              <w:left w:w="150" w:type="dxa"/>
              <w:right w:w="150" w:type="dxa"/>
            </w:tcMar>
          </w:tcPr>
          <w:p>
            <w:r>
              <w:rPr>
                <w:rFonts w:ascii="Calibri" w:hAnsi="Calibri"/>
                <w:sz w:val="19"/>
              </w:rPr>
              <w:t>Aset berada di dalam gudang penyimpanan cadangan (buffer store).</w:t>
            </w:r>
          </w:p>
        </w:tc>
      </w:tr>
      <w:tr>
        <w:tc>
          <w:tcPr>
            <w:tcW w:type="dxa" w:w="3120"/>
            <w:shd w:fill="FFFFFF"/>
            <w:tcMar>
              <w:top w:w="100" w:type="dxa"/>
              <w:bottom w:w="100" w:type="dxa"/>
              <w:left w:w="150" w:type="dxa"/>
              <w:right w:w="150" w:type="dxa"/>
            </w:tcMar>
          </w:tcPr>
          <w:p>
            <w:r>
              <w:rPr>
                <w:rFonts w:ascii="Calibri" w:hAnsi="Calibri"/>
                <w:sz w:val="19"/>
              </w:rPr>
              <w:t>Asset Status</w:t>
            </w:r>
          </w:p>
        </w:tc>
        <w:tc>
          <w:tcPr>
            <w:tcW w:type="dxa" w:w="3120"/>
            <w:shd w:fill="FFFFFF"/>
            <w:tcMar>
              <w:top w:w="100" w:type="dxa"/>
              <w:bottom w:w="100" w:type="dxa"/>
              <w:left w:w="150" w:type="dxa"/>
              <w:right w:w="150" w:type="dxa"/>
            </w:tcMar>
          </w:tcPr>
          <w:p>
            <w:r>
              <w:rPr>
                <w:rFonts w:ascii="Calibri" w:hAnsi="Calibri"/>
                <w:b/>
                <w:sz w:val="19"/>
              </w:rPr>
              <w:t>On Service</w:t>
            </w:r>
          </w:p>
        </w:tc>
        <w:tc>
          <w:tcPr>
            <w:tcW w:type="dxa" w:w="3120"/>
            <w:shd w:fill="FFFFFF"/>
            <w:tcMar>
              <w:top w:w="100" w:type="dxa"/>
              <w:bottom w:w="100" w:type="dxa"/>
              <w:left w:w="150" w:type="dxa"/>
              <w:right w:w="150" w:type="dxa"/>
            </w:tcMar>
          </w:tcPr>
          <w:p>
            <w:r>
              <w:rPr>
                <w:rFonts w:ascii="Calibri" w:hAnsi="Calibri"/>
                <w:sz w:val="19"/>
              </w:rPr>
              <w:t>Aset sedang berada di vendor dalam proses perbaikan teknis.</w:t>
            </w:r>
          </w:p>
        </w:tc>
      </w:tr>
      <w:tr>
        <w:tc>
          <w:tcPr>
            <w:tcW w:type="dxa" w:w="3120"/>
            <w:shd w:fill="F4F6F7"/>
            <w:tcMar>
              <w:top w:w="100" w:type="dxa"/>
              <w:bottom w:w="100" w:type="dxa"/>
              <w:left w:w="150" w:type="dxa"/>
              <w:right w:w="150" w:type="dxa"/>
            </w:tcMar>
          </w:tcPr>
          <w:p>
            <w:r>
              <w:rPr>
                <w:rFonts w:ascii="Calibri" w:hAnsi="Calibri"/>
                <w:sz w:val="19"/>
              </w:rPr>
              <w:t>Asset Status</w:t>
            </w:r>
          </w:p>
        </w:tc>
        <w:tc>
          <w:tcPr>
            <w:tcW w:type="dxa" w:w="3120"/>
            <w:shd w:fill="F4F6F7"/>
            <w:tcMar>
              <w:top w:w="100" w:type="dxa"/>
              <w:bottom w:w="100" w:type="dxa"/>
              <w:left w:w="150" w:type="dxa"/>
              <w:right w:w="150" w:type="dxa"/>
            </w:tcMar>
          </w:tcPr>
          <w:p>
            <w:r>
              <w:rPr>
                <w:rFonts w:ascii="Calibri" w:hAnsi="Calibri"/>
                <w:b/>
                <w:sz w:val="19"/>
              </w:rPr>
              <w:t>In Transfer</w:t>
            </w:r>
          </w:p>
        </w:tc>
        <w:tc>
          <w:tcPr>
            <w:tcW w:type="dxa" w:w="3120"/>
            <w:shd w:fill="F4F6F7"/>
            <w:tcMar>
              <w:top w:w="100" w:type="dxa"/>
              <w:bottom w:w="100" w:type="dxa"/>
              <w:left w:w="150" w:type="dxa"/>
              <w:right w:w="150" w:type="dxa"/>
            </w:tcMar>
          </w:tcPr>
          <w:p>
            <w:r>
              <w:rPr>
                <w:rFonts w:ascii="Calibri" w:hAnsi="Calibri"/>
                <w:sz w:val="19"/>
              </w:rPr>
              <w:t>Aset sedang dalam perjalanan pengiriman mutasi antar lokasi.</w:t>
            </w:r>
          </w:p>
        </w:tc>
      </w:tr>
      <w:tr>
        <w:tc>
          <w:tcPr>
            <w:tcW w:type="dxa" w:w="3120"/>
            <w:shd w:fill="FFFFFF"/>
            <w:tcMar>
              <w:top w:w="100" w:type="dxa"/>
              <w:bottom w:w="100" w:type="dxa"/>
              <w:left w:w="150" w:type="dxa"/>
              <w:right w:w="150" w:type="dxa"/>
            </w:tcMar>
          </w:tcPr>
          <w:p>
            <w:r>
              <w:rPr>
                <w:rFonts w:ascii="Calibri" w:hAnsi="Calibri"/>
                <w:sz w:val="19"/>
              </w:rPr>
              <w:t>Asset Status</w:t>
            </w:r>
          </w:p>
        </w:tc>
        <w:tc>
          <w:tcPr>
            <w:tcW w:type="dxa" w:w="3120"/>
            <w:shd w:fill="FFFFFF"/>
            <w:tcMar>
              <w:top w:w="100" w:type="dxa"/>
              <w:bottom w:w="100" w:type="dxa"/>
              <w:left w:w="150" w:type="dxa"/>
              <w:right w:w="150" w:type="dxa"/>
            </w:tcMar>
          </w:tcPr>
          <w:p>
            <w:r>
              <w:rPr>
                <w:rFonts w:ascii="Calibri" w:hAnsi="Calibri"/>
                <w:b/>
                <w:sz w:val="19"/>
              </w:rPr>
              <w:t>Retired</w:t>
            </w:r>
          </w:p>
        </w:tc>
        <w:tc>
          <w:tcPr>
            <w:tcW w:type="dxa" w:w="3120"/>
            <w:shd w:fill="FFFFFF"/>
            <w:tcMar>
              <w:top w:w="100" w:type="dxa"/>
              <w:bottom w:w="100" w:type="dxa"/>
              <w:left w:w="150" w:type="dxa"/>
              <w:right w:w="150" w:type="dxa"/>
            </w:tcMar>
          </w:tcPr>
          <w:p>
            <w:r>
              <w:rPr>
                <w:rFonts w:ascii="Calibri" w:hAnsi="Calibri"/>
                <w:sz w:val="19"/>
              </w:rPr>
              <w:t>Aset telah dikeluarkan dari daftar inventaris aktif (dibuang/rusak berat).</w:t>
            </w:r>
          </w:p>
        </w:tc>
      </w:tr>
      <w:tr>
        <w:tc>
          <w:tcPr>
            <w:tcW w:type="dxa" w:w="3120"/>
            <w:shd w:fill="F4F6F7"/>
            <w:tcMar>
              <w:top w:w="100" w:type="dxa"/>
              <w:bottom w:w="100" w:type="dxa"/>
              <w:left w:w="150" w:type="dxa"/>
              <w:right w:w="150" w:type="dxa"/>
            </w:tcMar>
          </w:tcPr>
          <w:p>
            <w:r>
              <w:rPr>
                <w:rFonts w:ascii="Calibri" w:hAnsi="Calibri"/>
                <w:sz w:val="19"/>
              </w:rPr>
              <w:t>Task Status</w:t>
            </w:r>
          </w:p>
        </w:tc>
        <w:tc>
          <w:tcPr>
            <w:tcW w:type="dxa" w:w="3120"/>
            <w:shd w:fill="F4F6F7"/>
            <w:tcMar>
              <w:top w:w="100" w:type="dxa"/>
              <w:bottom w:w="100" w:type="dxa"/>
              <w:left w:w="150" w:type="dxa"/>
              <w:right w:w="150" w:type="dxa"/>
            </w:tcMar>
          </w:tcPr>
          <w:p>
            <w:r>
              <w:rPr>
                <w:rFonts w:ascii="Calibri" w:hAnsi="Calibri"/>
                <w:b/>
                <w:sz w:val="19"/>
              </w:rPr>
              <w:t>Open</w:t>
            </w:r>
          </w:p>
        </w:tc>
        <w:tc>
          <w:tcPr>
            <w:tcW w:type="dxa" w:w="3120"/>
            <w:shd w:fill="F4F6F7"/>
            <w:tcMar>
              <w:top w:w="100" w:type="dxa"/>
              <w:bottom w:w="100" w:type="dxa"/>
              <w:left w:w="150" w:type="dxa"/>
              <w:right w:w="150" w:type="dxa"/>
            </w:tcMar>
          </w:tcPr>
          <w:p>
            <w:r>
              <w:rPr>
                <w:rFonts w:ascii="Calibri" w:hAnsi="Calibri"/>
                <w:sz w:val="19"/>
              </w:rPr>
              <w:t>Pekerjaan baru dibuat dan belum ditangani.</w:t>
            </w:r>
          </w:p>
        </w:tc>
      </w:tr>
      <w:tr>
        <w:tc>
          <w:tcPr>
            <w:tcW w:type="dxa" w:w="3120"/>
            <w:shd w:fill="FFFFFF"/>
            <w:tcMar>
              <w:top w:w="100" w:type="dxa"/>
              <w:bottom w:w="100" w:type="dxa"/>
              <w:left w:w="150" w:type="dxa"/>
              <w:right w:w="150" w:type="dxa"/>
            </w:tcMar>
          </w:tcPr>
          <w:p>
            <w:r>
              <w:rPr>
                <w:rFonts w:ascii="Calibri" w:hAnsi="Calibri"/>
                <w:sz w:val="19"/>
              </w:rPr>
              <w:t>Task Status</w:t>
            </w:r>
          </w:p>
        </w:tc>
        <w:tc>
          <w:tcPr>
            <w:tcW w:type="dxa" w:w="3120"/>
            <w:shd w:fill="FFFFFF"/>
            <w:tcMar>
              <w:top w:w="100" w:type="dxa"/>
              <w:bottom w:w="100" w:type="dxa"/>
              <w:left w:w="150" w:type="dxa"/>
              <w:right w:w="150" w:type="dxa"/>
            </w:tcMar>
          </w:tcPr>
          <w:p>
            <w:r>
              <w:rPr>
                <w:rFonts w:ascii="Calibri" w:hAnsi="Calibri"/>
                <w:b/>
                <w:sz w:val="19"/>
              </w:rPr>
              <w:t>Progress</w:t>
            </w:r>
          </w:p>
        </w:tc>
        <w:tc>
          <w:tcPr>
            <w:tcW w:type="dxa" w:w="3120"/>
            <w:shd w:fill="FFFFFF"/>
            <w:tcMar>
              <w:top w:w="100" w:type="dxa"/>
              <w:bottom w:w="100" w:type="dxa"/>
              <w:left w:w="150" w:type="dxa"/>
              <w:right w:w="150" w:type="dxa"/>
            </w:tcMar>
          </w:tcPr>
          <w:p>
            <w:r>
              <w:rPr>
                <w:rFonts w:ascii="Calibri" w:hAnsi="Calibri"/>
                <w:sz w:val="19"/>
              </w:rPr>
              <w:t>Pekerjaan sedang aktif diselesaikan oleh staf IT.</w:t>
            </w:r>
          </w:p>
        </w:tc>
      </w:tr>
      <w:tr>
        <w:tc>
          <w:tcPr>
            <w:tcW w:type="dxa" w:w="3120"/>
            <w:shd w:fill="F4F6F7"/>
            <w:tcMar>
              <w:top w:w="100" w:type="dxa"/>
              <w:bottom w:w="100" w:type="dxa"/>
              <w:left w:w="150" w:type="dxa"/>
              <w:right w:w="150" w:type="dxa"/>
            </w:tcMar>
          </w:tcPr>
          <w:p>
            <w:r>
              <w:rPr>
                <w:rFonts w:ascii="Calibri" w:hAnsi="Calibri"/>
                <w:sz w:val="19"/>
              </w:rPr>
              <w:t>Task Status</w:t>
            </w:r>
          </w:p>
        </w:tc>
        <w:tc>
          <w:tcPr>
            <w:tcW w:type="dxa" w:w="3120"/>
            <w:shd w:fill="F4F6F7"/>
            <w:tcMar>
              <w:top w:w="100" w:type="dxa"/>
              <w:bottom w:w="100" w:type="dxa"/>
              <w:left w:w="150" w:type="dxa"/>
              <w:right w:w="150" w:type="dxa"/>
            </w:tcMar>
          </w:tcPr>
          <w:p>
            <w:r>
              <w:rPr>
                <w:rFonts w:ascii="Calibri" w:hAnsi="Calibri"/>
                <w:b/>
                <w:sz w:val="19"/>
              </w:rPr>
              <w:t>Done</w:t>
            </w:r>
          </w:p>
        </w:tc>
        <w:tc>
          <w:tcPr>
            <w:tcW w:type="dxa" w:w="3120"/>
            <w:shd w:fill="F4F6F7"/>
            <w:tcMar>
              <w:top w:w="100" w:type="dxa"/>
              <w:bottom w:w="100" w:type="dxa"/>
              <w:left w:w="150" w:type="dxa"/>
              <w:right w:w="150" w:type="dxa"/>
            </w:tcMar>
          </w:tcPr>
          <w:p>
            <w:r>
              <w:rPr>
                <w:rFonts w:ascii="Calibri" w:hAnsi="Calibri"/>
                <w:sz w:val="19"/>
              </w:rPr>
              <w:t>Pekerjaan telah selesai dikerjakan.</w:t>
            </w:r>
          </w:p>
        </w:tc>
      </w:tr>
    </w:tbl>
    <w:p>
      <w:pPr>
        <w:spacing w:after="400"/>
      </w:pPr>
    </w:p>
    <w:p>
      <w:pPr>
        <w:pStyle w:val="Heading1"/>
        <w:spacing w:before="300" w:after="120"/>
      </w:pPr>
      <w:r>
        <w:rPr>
          <w:rFonts w:ascii="Arial" w:hAnsi="Arial"/>
          <w:color w:val="1A5276"/>
          <w:sz w:val="28"/>
        </w:rPr>
        <w:t>5. TIPS &amp; TRIK PRODUKTIVITAS</w:t>
      </w:r>
    </w:p>
    <w:p>
      <w:pPr>
        <w:pStyle w:val="ListBullet"/>
      </w:pPr>
      <w:r>
        <w:rPr>
          <w:b/>
        </w:rPr>
        <w:t xml:space="preserve">Pencarian Cepat (Ctrl+K Global Search): </w:t>
      </w:r>
      <w:r>
        <w:t>Di halaman mana pun, tekan tombol Ctrl+K atau klik kolom pencarian di navigasi kanan atas untuk mencari aset, karyawan, nomor PO, serial number, atau hostname dengan cepat tanpa harus membuka halaman list satu per satu.</w:t>
      </w:r>
    </w:p>
    <w:p>
      <w:pPr>
        <w:pStyle w:val="ListBullet"/>
      </w:pPr>
      <w:r>
        <w:rPr>
          <w:b/>
        </w:rPr>
        <w:t xml:space="preserve">Visual Status Indicator: </w:t>
      </w:r>
      <w:r>
        <w:t>Warna pill badge pada tabel merepresentasikan urgensi kondisi: Hijau (Sukses/Aktif/Selesai), Kuning (Dalam Proses/Transfer), dan Merah (Kendala/Overdue/Resigned). Gunakan kode warna ini untuk memprioritaskan tindakan harian.</w:t>
      </w:r>
    </w:p>
    <w:p>
      <w:pPr>
        <w:pStyle w:val="ListBullet"/>
      </w:pPr>
      <w:r>
        <w:rPr>
          <w:b/>
        </w:rPr>
        <w:t xml:space="preserve">Auto Session Timeout: </w:t>
      </w:r>
      <w:r>
        <w:t>Sistem dilengkapi dengan keamanan logout otomatis jika tidak ada aktivitas selama 30 menit. Jika sistem mendeteksi Anda idle selama 29 menit, peringatan di sudut kanan bawah akan muncul. Klik 'Stay Signed In' untuk memperpanjang sesi kerja Anda.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36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